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C4B" w:rsidRDefault="00F641D9" w:rsidP="00054E0A">
      <w:pPr>
        <w:pStyle w:val="NoSpacing"/>
        <w:jc w:val="both"/>
        <w:rPr>
          <w:rFonts w:eastAsia="Times New Roman" w:cs="Arial"/>
          <w:b/>
          <w:bCs/>
          <w:szCs w:val="24"/>
        </w:rPr>
      </w:pPr>
    </w:p>
    <w:p w:rsidR="00054E0A" w:rsidRDefault="00D205EF" w:rsidP="00054E0A">
      <w:pPr>
        <w:pStyle w:val="NoSpacing"/>
        <w:jc w:val="both"/>
        <w:rPr>
          <w:rFonts w:eastAsia="Times New Roman" w:cs="Arial"/>
          <w:b/>
          <w:bCs/>
          <w:szCs w:val="24"/>
        </w:rPr>
      </w:pPr>
      <w:r>
        <w:rPr>
          <w:rFonts w:eastAsia="Times New Roman" w:cs="Arial"/>
          <w:b/>
          <w:bCs/>
          <w:szCs w:val="24"/>
        </w:rPr>
        <w:t>CITY DEAL EXECUTIVE AND STEWARDSHIP BOARD</w:t>
      </w:r>
    </w:p>
    <w:p w:rsidR="00D3134F" w:rsidRPr="00D3134F" w:rsidRDefault="00F641D9" w:rsidP="00D3134F">
      <w:pPr>
        <w:spacing w:after="0" w:line="240" w:lineRule="auto"/>
        <w:rPr>
          <w:rFonts w:ascii="Arial" w:hAnsi="Arial" w:cs="Arial"/>
          <w:b/>
          <w:bCs/>
          <w:sz w:val="24"/>
          <w:szCs w:val="24"/>
        </w:rPr>
      </w:pPr>
    </w:p>
    <w:p w:rsidR="00D3134F" w:rsidRPr="00D3134F" w:rsidRDefault="00D205EF"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Pr>
          <w:rFonts w:ascii="Arial" w:hAnsi="Arial" w:cs="Arial"/>
          <w:b/>
          <w:sz w:val="24"/>
          <w:szCs w:val="24"/>
        </w:rPr>
        <w:t>NO</w:t>
      </w:r>
    </w:p>
    <w:p w:rsidR="00D3134F" w:rsidRPr="00D3134F" w:rsidRDefault="00F641D9" w:rsidP="00D3134F">
      <w:pPr>
        <w:spacing w:after="0" w:line="240" w:lineRule="auto"/>
        <w:rPr>
          <w:rFonts w:ascii="Arial" w:hAnsi="Arial" w:cs="Arial"/>
          <w:sz w:val="24"/>
          <w:szCs w:val="24"/>
        </w:rPr>
      </w:pPr>
    </w:p>
    <w:p w:rsidR="00D3134F" w:rsidRPr="00D3134F" w:rsidRDefault="00D205EF" w:rsidP="00D3134F">
      <w:pPr>
        <w:spacing w:after="0" w:line="240" w:lineRule="auto"/>
        <w:rPr>
          <w:rFonts w:ascii="Arial" w:hAnsi="Arial" w:cs="Arial"/>
          <w:sz w:val="24"/>
          <w:szCs w:val="24"/>
        </w:rPr>
      </w:pPr>
      <w:r w:rsidRPr="00EB4643">
        <w:rPr>
          <w:rFonts w:ascii="Arial" w:hAnsi="Arial" w:cs="Arial"/>
          <w:b/>
          <w:sz w:val="24"/>
          <w:szCs w:val="24"/>
        </w:rPr>
        <w:t>Date:</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Thursday, 25 July 2019</w:t>
      </w:r>
      <w:r>
        <w:rPr>
          <w:rFonts w:ascii="Arial" w:hAnsi="Arial" w:cs="Arial"/>
          <w:sz w:val="24"/>
          <w:szCs w:val="24"/>
        </w:rPr>
        <w:fldChar w:fldCharType="end"/>
      </w:r>
    </w:p>
    <w:p w:rsidR="00D3134F" w:rsidRPr="00D3134F" w:rsidRDefault="00F641D9" w:rsidP="00D3134F">
      <w:pPr>
        <w:spacing w:after="0" w:line="240" w:lineRule="auto"/>
        <w:rPr>
          <w:rFonts w:ascii="Arial" w:hAnsi="Arial" w:cs="Arial"/>
          <w:sz w:val="24"/>
          <w:szCs w:val="24"/>
        </w:rPr>
      </w:pPr>
    </w:p>
    <w:p w:rsidR="00D3134F" w:rsidRPr="00D3134F" w:rsidRDefault="00D205EF"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 xml:space="preserve">End of Year Performance Monitoring Report - Year 5 </w:t>
      </w:r>
      <w:r w:rsidR="00F641D9">
        <w:rPr>
          <w:rFonts w:ascii="Arial" w:eastAsia="Times New Roman" w:hAnsi="Arial" w:cs="Arial"/>
          <w:b/>
          <w:sz w:val="24"/>
          <w:szCs w:val="24"/>
        </w:rPr>
        <w:t xml:space="preserve">- </w:t>
      </w:r>
      <w:r>
        <w:rPr>
          <w:rFonts w:ascii="Arial" w:eastAsia="Times New Roman" w:hAnsi="Arial" w:cs="Arial"/>
          <w:b/>
          <w:sz w:val="24"/>
          <w:szCs w:val="24"/>
        </w:rPr>
        <w:t>2018-19</w:t>
      </w:r>
      <w:r>
        <w:rPr>
          <w:rFonts w:ascii="Arial" w:eastAsia="Times New Roman" w:hAnsi="Arial" w:cs="Arial"/>
          <w:b/>
          <w:sz w:val="24"/>
          <w:szCs w:val="24"/>
        </w:rPr>
        <w:fldChar w:fldCharType="end"/>
      </w:r>
    </w:p>
    <w:p w:rsidR="00706409" w:rsidRDefault="00F641D9" w:rsidP="00706409">
      <w:pPr>
        <w:spacing w:after="0" w:line="240" w:lineRule="auto"/>
        <w:jc w:val="both"/>
        <w:rPr>
          <w:rFonts w:ascii="Arial" w:hAnsi="Arial" w:cs="Arial"/>
          <w:sz w:val="24"/>
          <w:szCs w:val="24"/>
        </w:rPr>
      </w:pPr>
    </w:p>
    <w:p w:rsidR="00706409" w:rsidRPr="00706409" w:rsidRDefault="00D205EF" w:rsidP="00706409">
      <w:pPr>
        <w:spacing w:after="0" w:line="240" w:lineRule="auto"/>
        <w:jc w:val="both"/>
        <w:rPr>
          <w:rFonts w:ascii="Arial" w:hAnsi="Arial" w:cs="Arial"/>
          <w:color w:val="FF0000"/>
          <w:sz w:val="24"/>
          <w:szCs w:val="24"/>
        </w:rPr>
      </w:pPr>
      <w:r w:rsidRPr="00706409">
        <w:rPr>
          <w:rFonts w:ascii="Arial" w:hAnsi="Arial" w:cs="Arial"/>
          <w:sz w:val="24"/>
          <w:szCs w:val="24"/>
        </w:rPr>
        <w:t xml:space="preserve">Appendix 1 – City Deal Performance Dashboard </w:t>
      </w:r>
    </w:p>
    <w:p w:rsidR="00706409" w:rsidRPr="00706409" w:rsidRDefault="00D205EF" w:rsidP="00706409">
      <w:pPr>
        <w:spacing w:after="0" w:line="240" w:lineRule="auto"/>
        <w:jc w:val="both"/>
        <w:rPr>
          <w:rFonts w:ascii="Arial" w:hAnsi="Arial" w:cs="Arial"/>
          <w:sz w:val="24"/>
          <w:szCs w:val="24"/>
        </w:rPr>
      </w:pPr>
      <w:r w:rsidRPr="00706409">
        <w:rPr>
          <w:rFonts w:ascii="Arial" w:hAnsi="Arial" w:cs="Arial"/>
          <w:sz w:val="24"/>
          <w:szCs w:val="24"/>
        </w:rPr>
        <w:t xml:space="preserve">Appendix 2 – Housing and Commercial Sites Dashboard </w:t>
      </w:r>
    </w:p>
    <w:p w:rsidR="00706409" w:rsidRPr="00706409" w:rsidRDefault="00D205EF" w:rsidP="00706409">
      <w:pPr>
        <w:spacing w:after="0" w:line="240" w:lineRule="auto"/>
        <w:jc w:val="both"/>
        <w:rPr>
          <w:rFonts w:ascii="Arial" w:hAnsi="Arial" w:cs="Arial"/>
          <w:sz w:val="24"/>
          <w:szCs w:val="24"/>
        </w:rPr>
      </w:pPr>
      <w:r w:rsidRPr="00706409">
        <w:rPr>
          <w:rFonts w:ascii="Arial" w:hAnsi="Arial" w:cs="Arial"/>
          <w:sz w:val="24"/>
          <w:szCs w:val="24"/>
        </w:rPr>
        <w:t xml:space="preserve">Appendix 3 – Skills and Employment Case Studies Dashboard </w:t>
      </w:r>
    </w:p>
    <w:p w:rsidR="00706409" w:rsidRPr="00706409" w:rsidRDefault="00D205EF" w:rsidP="00706409">
      <w:pPr>
        <w:spacing w:after="0" w:line="240" w:lineRule="auto"/>
        <w:jc w:val="both"/>
        <w:rPr>
          <w:rFonts w:ascii="Arial" w:hAnsi="Arial" w:cs="Arial"/>
          <w:sz w:val="24"/>
          <w:szCs w:val="24"/>
        </w:rPr>
      </w:pPr>
      <w:r w:rsidRPr="00706409">
        <w:rPr>
          <w:rFonts w:ascii="Arial" w:hAnsi="Arial" w:cs="Arial"/>
          <w:sz w:val="24"/>
          <w:szCs w:val="24"/>
        </w:rPr>
        <w:t>Appendix 4 – Q4 Infrastructure Performance Dashboard</w:t>
      </w:r>
    </w:p>
    <w:p w:rsidR="00D3134F" w:rsidRDefault="00D205EF" w:rsidP="00F641D9">
      <w:pPr>
        <w:spacing w:after="0" w:line="240" w:lineRule="auto"/>
        <w:jc w:val="both"/>
        <w:rPr>
          <w:rFonts w:ascii="Arial" w:hAnsi="Arial" w:cs="Arial"/>
          <w:sz w:val="24"/>
          <w:szCs w:val="24"/>
        </w:rPr>
      </w:pPr>
      <w:r w:rsidRPr="00706409">
        <w:rPr>
          <w:rFonts w:ascii="Arial" w:hAnsi="Arial" w:cs="Arial"/>
          <w:sz w:val="24"/>
          <w:szCs w:val="24"/>
        </w:rPr>
        <w:t xml:space="preserve">Appendix 5 </w:t>
      </w:r>
      <w:r w:rsidR="00BC4E16">
        <w:rPr>
          <w:rFonts w:ascii="Arial" w:hAnsi="Arial" w:cs="Arial"/>
          <w:sz w:val="24"/>
          <w:szCs w:val="24"/>
        </w:rPr>
        <w:t>–</w:t>
      </w:r>
      <w:r w:rsidRPr="00706409">
        <w:rPr>
          <w:rFonts w:ascii="Arial" w:hAnsi="Arial" w:cs="Arial"/>
          <w:sz w:val="24"/>
          <w:szCs w:val="24"/>
        </w:rPr>
        <w:t xml:space="preserve"> Risk</w:t>
      </w:r>
      <w:r w:rsidR="00BC4E16">
        <w:rPr>
          <w:rFonts w:ascii="Arial" w:hAnsi="Arial" w:cs="Arial"/>
          <w:sz w:val="24"/>
          <w:szCs w:val="24"/>
        </w:rPr>
        <w:t xml:space="preserve"> </w:t>
      </w:r>
      <w:r w:rsidRPr="00706409">
        <w:rPr>
          <w:rFonts w:ascii="Arial" w:hAnsi="Arial" w:cs="Arial"/>
          <w:sz w:val="24"/>
          <w:szCs w:val="24"/>
        </w:rPr>
        <w:t>and Issues log</w:t>
      </w:r>
    </w:p>
    <w:p w:rsidR="00706409" w:rsidRPr="00D3134F" w:rsidRDefault="00F641D9" w:rsidP="00D3134F">
      <w:pPr>
        <w:spacing w:after="0" w:line="240" w:lineRule="auto"/>
        <w:rPr>
          <w:rFonts w:ascii="Arial" w:hAnsi="Arial" w:cs="Arial"/>
          <w:sz w:val="24"/>
          <w:szCs w:val="24"/>
        </w:rPr>
      </w:pPr>
    </w:p>
    <w:p w:rsidR="00D3134F" w:rsidRPr="00D3134F" w:rsidRDefault="00D205EF" w:rsidP="00D3134F">
      <w:pPr>
        <w:spacing w:after="0" w:line="240" w:lineRule="auto"/>
        <w:ind w:right="-873"/>
        <w:rPr>
          <w:rFonts w:ascii="Arial" w:eastAsia="Times New Roman" w:hAnsi="Arial" w:cs="Arial"/>
          <w:b/>
          <w:sz w:val="24"/>
          <w:szCs w:val="24"/>
        </w:rPr>
      </w:pPr>
      <w:r w:rsidRPr="00D3134F">
        <w:rPr>
          <w:rFonts w:ascii="Arial" w:hAnsi="Arial" w:cs="Arial"/>
          <w:b/>
          <w:sz w:val="24"/>
          <w:szCs w:val="24"/>
        </w:rPr>
        <w:t>Report Author:</w:t>
      </w:r>
      <w:r>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  \* MERGEFORMAT </w:instrText>
      </w:r>
      <w:r>
        <w:rPr>
          <w:rFonts w:ascii="Arial" w:hAnsi="Arial" w:cs="Arial"/>
          <w:b/>
          <w:sz w:val="24"/>
          <w:szCs w:val="24"/>
        </w:rPr>
        <w:fldChar w:fldCharType="separate"/>
      </w:r>
      <w:r>
        <w:rPr>
          <w:rFonts w:ascii="Arial" w:hAnsi="Arial" w:cs="Arial"/>
          <w:b/>
          <w:sz w:val="24"/>
          <w:szCs w:val="24"/>
        </w:rPr>
        <w:t>Joanne Hudson</w:t>
      </w:r>
      <w:r>
        <w:rPr>
          <w:rFonts w:ascii="Arial" w:hAnsi="Arial" w:cs="Arial"/>
          <w:b/>
          <w:sz w:val="24"/>
          <w:szCs w:val="24"/>
        </w:rPr>
        <w:fldChar w:fldCharType="end"/>
      </w:r>
      <w:r w:rsidRPr="00D3134F">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LeadOfficerTel  \* MERGEFORMAT </w:instrText>
      </w:r>
      <w:r>
        <w:rPr>
          <w:rFonts w:ascii="Arial" w:hAnsi="Arial" w:cs="Arial"/>
          <w:b/>
          <w:sz w:val="24"/>
          <w:szCs w:val="24"/>
        </w:rPr>
        <w:fldChar w:fldCharType="separate"/>
      </w:r>
      <w:r>
        <w:rPr>
          <w:rFonts w:ascii="Arial" w:hAnsi="Arial" w:cs="Arial"/>
          <w:b/>
          <w:sz w:val="24"/>
          <w:szCs w:val="24"/>
        </w:rPr>
        <w:t>Tel: 07772 112959</w:t>
      </w:r>
      <w:r>
        <w:rPr>
          <w:rFonts w:ascii="Arial" w:hAnsi="Arial" w:cs="Arial"/>
          <w:b/>
          <w:sz w:val="24"/>
          <w:szCs w:val="24"/>
        </w:rPr>
        <w:fldChar w:fldCharType="end"/>
      </w:r>
      <w:r w:rsidRPr="00D3134F">
        <w:rPr>
          <w:rFonts w:ascii="Arial" w:hAnsi="Arial" w:cs="Arial"/>
          <w:b/>
          <w:sz w:val="24"/>
          <w:szCs w:val="24"/>
        </w:rPr>
        <w:t xml:space="preserve">, </w:t>
      </w:r>
    </w:p>
    <w:p w:rsidR="00D3134F" w:rsidRPr="00D3134F" w:rsidRDefault="00D205EF" w:rsidP="00D3134F">
      <w:pPr>
        <w:spacing w:after="0" w:line="240" w:lineRule="auto"/>
        <w:ind w:right="-873"/>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DOCPROPERTY  LeadOfficerEmail  \* MERGEFORMAT </w:instrText>
      </w:r>
      <w:r>
        <w:rPr>
          <w:rFonts w:ascii="Arial" w:hAnsi="Arial" w:cs="Arial"/>
          <w:b/>
          <w:sz w:val="24"/>
          <w:szCs w:val="24"/>
        </w:rPr>
        <w:fldChar w:fldCharType="separate"/>
      </w:r>
      <w:r>
        <w:rPr>
          <w:rFonts w:ascii="Arial" w:hAnsi="Arial" w:cs="Arial"/>
          <w:b/>
          <w:sz w:val="24"/>
          <w:szCs w:val="24"/>
        </w:rPr>
        <w:t>joanne.hudson@lancashire.gov.uk</w:t>
      </w:r>
      <w:r>
        <w:rPr>
          <w:rFonts w:ascii="Arial" w:hAnsi="Arial" w:cs="Arial"/>
          <w:b/>
          <w:sz w:val="24"/>
          <w:szCs w:val="24"/>
        </w:rPr>
        <w:fldChar w:fldCharType="end"/>
      </w:r>
    </w:p>
    <w:p w:rsidR="00D3134F" w:rsidRPr="00D3134F" w:rsidRDefault="00F641D9"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B20DF" w:rsidTr="000B1F3A">
        <w:tc>
          <w:tcPr>
            <w:tcW w:w="9180" w:type="dxa"/>
          </w:tcPr>
          <w:p w:rsidR="00D3134F" w:rsidRPr="00D3134F" w:rsidRDefault="00F641D9" w:rsidP="00D3134F">
            <w:pPr>
              <w:pStyle w:val="Header"/>
              <w:rPr>
                <w:rFonts w:ascii="Arial" w:hAnsi="Arial" w:cs="Arial"/>
                <w:sz w:val="24"/>
                <w:szCs w:val="24"/>
              </w:rPr>
            </w:pPr>
          </w:p>
          <w:p w:rsidR="00D3134F" w:rsidRPr="00D3134F" w:rsidRDefault="00D205EF"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F641D9" w:rsidP="00D3134F">
            <w:pPr>
              <w:spacing w:after="0" w:line="240" w:lineRule="auto"/>
              <w:rPr>
                <w:rFonts w:ascii="Arial" w:hAnsi="Arial" w:cs="Arial"/>
                <w:sz w:val="24"/>
                <w:szCs w:val="24"/>
              </w:rPr>
            </w:pPr>
          </w:p>
          <w:p w:rsidR="00706409" w:rsidRPr="00706409" w:rsidRDefault="00D205EF" w:rsidP="00706409">
            <w:pPr>
              <w:tabs>
                <w:tab w:val="left" w:pos="29"/>
              </w:tabs>
              <w:spacing w:after="0" w:line="240" w:lineRule="auto"/>
              <w:ind w:left="29"/>
              <w:jc w:val="both"/>
              <w:rPr>
                <w:rFonts w:ascii="Arial" w:hAnsi="Arial" w:cs="Arial"/>
                <w:sz w:val="24"/>
                <w:szCs w:val="24"/>
              </w:rPr>
            </w:pPr>
            <w:r w:rsidRPr="00706409">
              <w:rPr>
                <w:rFonts w:ascii="Arial" w:hAnsi="Arial" w:cs="Arial"/>
                <w:sz w:val="24"/>
                <w:szCs w:val="24"/>
              </w:rPr>
              <w:t xml:space="preserve">This report provides the City Deal Executive and Stewardship Board with an overview of how the Programme has performed during the twelve month period </w:t>
            </w:r>
            <w:proofErr w:type="gramStart"/>
            <w:r w:rsidRPr="00706409">
              <w:rPr>
                <w:rFonts w:ascii="Arial" w:hAnsi="Arial" w:cs="Arial"/>
                <w:sz w:val="24"/>
                <w:szCs w:val="24"/>
              </w:rPr>
              <w:t>between 1</w:t>
            </w:r>
            <w:r w:rsidRPr="00706409">
              <w:rPr>
                <w:rFonts w:ascii="Arial" w:hAnsi="Arial" w:cs="Arial"/>
                <w:sz w:val="24"/>
                <w:szCs w:val="24"/>
                <w:vertAlign w:val="superscript"/>
              </w:rPr>
              <w:t>st</w:t>
            </w:r>
            <w:r w:rsidRPr="00706409">
              <w:rPr>
                <w:rFonts w:ascii="Arial" w:hAnsi="Arial" w:cs="Arial"/>
                <w:sz w:val="24"/>
                <w:szCs w:val="24"/>
              </w:rPr>
              <w:t xml:space="preserve"> April 2018 – 31</w:t>
            </w:r>
            <w:r w:rsidRPr="00706409">
              <w:rPr>
                <w:rFonts w:ascii="Arial" w:hAnsi="Arial" w:cs="Arial"/>
                <w:sz w:val="24"/>
                <w:szCs w:val="24"/>
                <w:vertAlign w:val="superscript"/>
              </w:rPr>
              <w:t>st</w:t>
            </w:r>
            <w:r w:rsidRPr="00706409">
              <w:rPr>
                <w:rFonts w:ascii="Arial" w:hAnsi="Arial" w:cs="Arial"/>
                <w:sz w:val="24"/>
                <w:szCs w:val="24"/>
              </w:rPr>
              <w:t xml:space="preserve"> March 2019 (year 5)</w:t>
            </w:r>
            <w:proofErr w:type="gramEnd"/>
            <w:r w:rsidRPr="00706409">
              <w:rPr>
                <w:rFonts w:ascii="Arial" w:hAnsi="Arial" w:cs="Arial"/>
                <w:sz w:val="24"/>
                <w:szCs w:val="24"/>
              </w:rPr>
              <w:t>.  The C</w:t>
            </w:r>
            <w:r w:rsidR="00464418">
              <w:rPr>
                <w:rFonts w:ascii="Arial" w:hAnsi="Arial" w:cs="Arial"/>
                <w:sz w:val="24"/>
                <w:szCs w:val="24"/>
              </w:rPr>
              <w:t>ity Deal performance dashboard attached at A</w:t>
            </w:r>
            <w:r w:rsidRPr="00706409">
              <w:rPr>
                <w:rFonts w:ascii="Arial" w:hAnsi="Arial" w:cs="Arial"/>
                <w:sz w:val="24"/>
                <w:szCs w:val="24"/>
              </w:rPr>
              <w:t>ppendix</w:t>
            </w:r>
            <w:r w:rsidR="00464418">
              <w:rPr>
                <w:rFonts w:ascii="Arial" w:hAnsi="Arial" w:cs="Arial"/>
                <w:sz w:val="24"/>
                <w:szCs w:val="24"/>
              </w:rPr>
              <w:t xml:space="preserve"> 1</w:t>
            </w:r>
            <w:r w:rsidRPr="00706409">
              <w:rPr>
                <w:rFonts w:ascii="Arial" w:hAnsi="Arial" w:cs="Arial"/>
                <w:sz w:val="24"/>
                <w:szCs w:val="24"/>
              </w:rPr>
              <w:t xml:space="preserve"> provides a summary of performance against core and supporting outputs and will form part of the monitoring return to Government.</w:t>
            </w:r>
          </w:p>
          <w:p w:rsidR="00706409" w:rsidRPr="00706409" w:rsidRDefault="00D205EF" w:rsidP="00706409">
            <w:pPr>
              <w:tabs>
                <w:tab w:val="left" w:pos="29"/>
              </w:tabs>
              <w:spacing w:after="0" w:line="240" w:lineRule="auto"/>
              <w:ind w:left="29"/>
              <w:jc w:val="both"/>
              <w:rPr>
                <w:rFonts w:ascii="Arial" w:hAnsi="Arial" w:cs="Arial"/>
                <w:sz w:val="24"/>
                <w:szCs w:val="24"/>
              </w:rPr>
            </w:pPr>
            <w:r w:rsidRPr="00706409">
              <w:rPr>
                <w:rFonts w:ascii="Arial" w:hAnsi="Arial" w:cs="Arial"/>
                <w:sz w:val="24"/>
                <w:szCs w:val="24"/>
              </w:rPr>
              <w:t xml:space="preserve"> </w:t>
            </w:r>
          </w:p>
          <w:p w:rsidR="00706409" w:rsidRPr="00706409" w:rsidRDefault="00D205EF" w:rsidP="00706409">
            <w:pPr>
              <w:tabs>
                <w:tab w:val="left" w:pos="29"/>
              </w:tabs>
              <w:spacing w:after="0" w:line="240" w:lineRule="auto"/>
              <w:ind w:left="29"/>
              <w:jc w:val="both"/>
              <w:rPr>
                <w:rFonts w:ascii="Arial" w:hAnsi="Arial" w:cs="Arial"/>
                <w:sz w:val="24"/>
                <w:szCs w:val="24"/>
              </w:rPr>
            </w:pPr>
            <w:r w:rsidRPr="00706409">
              <w:rPr>
                <w:rFonts w:ascii="Arial" w:hAnsi="Arial" w:cs="Arial"/>
                <w:sz w:val="24"/>
                <w:szCs w:val="24"/>
              </w:rPr>
              <w:t>Performance can be summarised as follows:</w:t>
            </w:r>
          </w:p>
          <w:p w:rsidR="00706409" w:rsidRPr="00706409" w:rsidRDefault="00F641D9" w:rsidP="00706409">
            <w:pPr>
              <w:tabs>
                <w:tab w:val="left" w:pos="29"/>
              </w:tabs>
              <w:spacing w:after="0" w:line="240" w:lineRule="auto"/>
              <w:ind w:left="29"/>
              <w:jc w:val="both"/>
              <w:rPr>
                <w:rFonts w:ascii="Arial" w:hAnsi="Arial" w:cs="Arial"/>
                <w:sz w:val="24"/>
                <w:szCs w:val="24"/>
              </w:rPr>
            </w:pPr>
          </w:p>
          <w:p w:rsidR="00BC4E16" w:rsidRDefault="00D205EF" w:rsidP="00706409">
            <w:pPr>
              <w:tabs>
                <w:tab w:val="left" w:pos="29"/>
              </w:tabs>
              <w:spacing w:after="0" w:line="240" w:lineRule="auto"/>
              <w:ind w:left="29"/>
              <w:jc w:val="both"/>
              <w:rPr>
                <w:rFonts w:ascii="Arial" w:hAnsi="Arial" w:cs="Arial"/>
                <w:sz w:val="24"/>
                <w:szCs w:val="24"/>
              </w:rPr>
            </w:pPr>
            <w:r w:rsidRPr="00706409">
              <w:rPr>
                <w:rFonts w:ascii="Arial" w:hAnsi="Arial" w:cs="Arial"/>
                <w:b/>
                <w:sz w:val="24"/>
                <w:szCs w:val="24"/>
              </w:rPr>
              <w:t>Housing outputs</w:t>
            </w:r>
            <w:r w:rsidRPr="00706409">
              <w:rPr>
                <w:rFonts w:ascii="Arial" w:hAnsi="Arial" w:cs="Arial"/>
                <w:sz w:val="24"/>
                <w:szCs w:val="24"/>
              </w:rPr>
              <w:t xml:space="preserve"> – Overall, housing performance remains positive against targets with 1289 unit completions against a target of 1130. Total completions since the start of the deal are 4991 (including 346 re-use of empty homes</w:t>
            </w:r>
            <w:r>
              <w:rPr>
                <w:rFonts w:ascii="Arial" w:hAnsi="Arial" w:cs="Arial"/>
                <w:sz w:val="24"/>
                <w:szCs w:val="24"/>
              </w:rPr>
              <w:t xml:space="preserve"> – no change from previously reported</w:t>
            </w:r>
            <w:r w:rsidRPr="00706409">
              <w:rPr>
                <w:rFonts w:ascii="Arial" w:hAnsi="Arial" w:cs="Arial"/>
                <w:sz w:val="24"/>
                <w:szCs w:val="24"/>
              </w:rPr>
              <w:t>). Individual site progress and performance</w:t>
            </w:r>
            <w:r w:rsidR="00BC4E16">
              <w:rPr>
                <w:rFonts w:ascii="Arial" w:hAnsi="Arial" w:cs="Arial"/>
                <w:sz w:val="24"/>
                <w:szCs w:val="24"/>
              </w:rPr>
              <w:t xml:space="preserve"> on key sites is considered in A</w:t>
            </w:r>
            <w:r w:rsidRPr="00706409">
              <w:rPr>
                <w:rFonts w:ascii="Arial" w:hAnsi="Arial" w:cs="Arial"/>
                <w:sz w:val="24"/>
                <w:szCs w:val="24"/>
              </w:rPr>
              <w:t xml:space="preserve">ppendix 2. </w:t>
            </w:r>
          </w:p>
          <w:p w:rsidR="00706409" w:rsidRPr="00706409" w:rsidRDefault="00D205EF" w:rsidP="00706409">
            <w:pPr>
              <w:tabs>
                <w:tab w:val="left" w:pos="29"/>
              </w:tabs>
              <w:spacing w:after="0" w:line="240" w:lineRule="auto"/>
              <w:ind w:left="29"/>
              <w:jc w:val="both"/>
              <w:rPr>
                <w:rFonts w:ascii="Arial" w:hAnsi="Arial" w:cs="Arial"/>
                <w:sz w:val="24"/>
                <w:szCs w:val="24"/>
              </w:rPr>
            </w:pPr>
            <w:r w:rsidRPr="00706409">
              <w:rPr>
                <w:rFonts w:ascii="Arial" w:hAnsi="Arial" w:cs="Arial"/>
                <w:sz w:val="24"/>
                <w:szCs w:val="24"/>
              </w:rPr>
              <w:t xml:space="preserve"> </w:t>
            </w:r>
          </w:p>
          <w:p w:rsidR="00BC4E16" w:rsidRDefault="00D205EF" w:rsidP="00706409">
            <w:pPr>
              <w:tabs>
                <w:tab w:val="left" w:pos="29"/>
              </w:tabs>
              <w:spacing w:after="0" w:line="240" w:lineRule="auto"/>
              <w:ind w:left="29"/>
              <w:jc w:val="both"/>
              <w:rPr>
                <w:rFonts w:ascii="Arial" w:hAnsi="Arial" w:cs="Arial"/>
                <w:sz w:val="24"/>
                <w:szCs w:val="24"/>
              </w:rPr>
            </w:pPr>
            <w:r w:rsidRPr="00706409">
              <w:rPr>
                <w:rFonts w:ascii="Arial" w:hAnsi="Arial" w:cs="Arial"/>
                <w:b/>
                <w:sz w:val="24"/>
                <w:szCs w:val="24"/>
              </w:rPr>
              <w:t>Commercial sites</w:t>
            </w:r>
            <w:r w:rsidRPr="00706409">
              <w:rPr>
                <w:rFonts w:ascii="Arial" w:hAnsi="Arial" w:cs="Arial"/>
                <w:sz w:val="24"/>
                <w:szCs w:val="24"/>
              </w:rPr>
              <w:t xml:space="preserve"> – Demand for commercial land remains high and commercial </w:t>
            </w:r>
            <w:proofErr w:type="spellStart"/>
            <w:r w:rsidRPr="00706409">
              <w:rPr>
                <w:rFonts w:ascii="Arial" w:hAnsi="Arial" w:cs="Arial"/>
                <w:sz w:val="24"/>
                <w:szCs w:val="24"/>
              </w:rPr>
              <w:t>floorspace</w:t>
            </w:r>
            <w:proofErr w:type="spellEnd"/>
            <w:r w:rsidRPr="00706409">
              <w:rPr>
                <w:rFonts w:ascii="Arial" w:hAnsi="Arial" w:cs="Arial"/>
                <w:sz w:val="24"/>
                <w:szCs w:val="24"/>
              </w:rPr>
              <w:t xml:space="preserve"> completions remain positive year on year, as do job creation figures.  Overall there has been a continuation of strong performance in commercial site construction activity, especially in respect of business park/edge of town retail/car showroom activity. Demand remains high at key employment sites in some sectors for industrial uses, with a range of schemes progressing well to make land available. The office market values remain challenging, as are high street retail conditions although a range of leisure schemes are under construction/in development.     </w:t>
            </w:r>
          </w:p>
          <w:p w:rsidR="00706409" w:rsidRPr="00706409" w:rsidRDefault="00F641D9" w:rsidP="00706409">
            <w:pPr>
              <w:tabs>
                <w:tab w:val="left" w:pos="29"/>
              </w:tabs>
              <w:spacing w:after="0" w:line="240" w:lineRule="auto"/>
              <w:ind w:left="29"/>
              <w:jc w:val="both"/>
              <w:rPr>
                <w:rFonts w:ascii="Arial" w:hAnsi="Arial" w:cs="Arial"/>
                <w:sz w:val="24"/>
                <w:szCs w:val="24"/>
              </w:rPr>
            </w:pPr>
          </w:p>
          <w:p w:rsidR="00706409" w:rsidRDefault="00D205EF" w:rsidP="00706409">
            <w:pPr>
              <w:tabs>
                <w:tab w:val="left" w:pos="29"/>
              </w:tabs>
              <w:spacing w:after="0" w:line="240" w:lineRule="auto"/>
              <w:ind w:left="29"/>
              <w:jc w:val="both"/>
              <w:rPr>
                <w:rFonts w:ascii="Arial" w:hAnsi="Arial" w:cs="Arial"/>
                <w:sz w:val="24"/>
                <w:szCs w:val="24"/>
              </w:rPr>
            </w:pPr>
            <w:r w:rsidRPr="00706409">
              <w:rPr>
                <w:rFonts w:ascii="Arial" w:hAnsi="Arial" w:cs="Arial"/>
                <w:b/>
                <w:sz w:val="24"/>
                <w:szCs w:val="24"/>
              </w:rPr>
              <w:t>Employment and skills</w:t>
            </w:r>
            <w:r w:rsidRPr="00706409">
              <w:rPr>
                <w:rFonts w:ascii="Arial" w:hAnsi="Arial" w:cs="Arial"/>
                <w:sz w:val="24"/>
                <w:szCs w:val="24"/>
              </w:rPr>
              <w:t xml:space="preserve"> – Work continues with partners to deliver a range of activities with schools and businesses aimed at encouraging the recruitment of apprentices </w:t>
            </w:r>
            <w:r w:rsidRPr="00706409">
              <w:rPr>
                <w:rFonts w:ascii="Arial" w:hAnsi="Arial" w:cs="Arial"/>
                <w:sz w:val="24"/>
                <w:szCs w:val="24"/>
              </w:rPr>
              <w:lastRenderedPageBreak/>
              <w:t xml:space="preserve">within the construction sector. This report represents an update on key activities in the last year with detailed case studies presented in </w:t>
            </w:r>
            <w:r w:rsidR="00BC4E16">
              <w:rPr>
                <w:rFonts w:ascii="Arial" w:hAnsi="Arial" w:cs="Arial"/>
                <w:sz w:val="24"/>
                <w:szCs w:val="24"/>
              </w:rPr>
              <w:t>A</w:t>
            </w:r>
            <w:r w:rsidRPr="00706409">
              <w:rPr>
                <w:rFonts w:ascii="Arial" w:hAnsi="Arial" w:cs="Arial"/>
                <w:sz w:val="24"/>
                <w:szCs w:val="24"/>
              </w:rPr>
              <w:t>ppendix 3.</w:t>
            </w:r>
          </w:p>
          <w:p w:rsidR="00BC4E16" w:rsidRPr="00706409" w:rsidRDefault="00BC4E16" w:rsidP="00706409">
            <w:pPr>
              <w:tabs>
                <w:tab w:val="left" w:pos="29"/>
              </w:tabs>
              <w:spacing w:after="0" w:line="240" w:lineRule="auto"/>
              <w:ind w:left="29"/>
              <w:jc w:val="both"/>
              <w:rPr>
                <w:rFonts w:ascii="Arial" w:hAnsi="Arial" w:cs="Arial"/>
                <w:sz w:val="24"/>
                <w:szCs w:val="24"/>
              </w:rPr>
            </w:pPr>
          </w:p>
          <w:p w:rsidR="00706409" w:rsidRDefault="00D205EF" w:rsidP="00706409">
            <w:pPr>
              <w:tabs>
                <w:tab w:val="left" w:pos="29"/>
              </w:tabs>
              <w:spacing w:after="0" w:line="240" w:lineRule="auto"/>
              <w:ind w:left="29"/>
              <w:jc w:val="both"/>
              <w:rPr>
                <w:rFonts w:ascii="Arial" w:hAnsi="Arial" w:cs="Arial"/>
                <w:sz w:val="24"/>
                <w:szCs w:val="24"/>
              </w:rPr>
            </w:pPr>
            <w:r w:rsidRPr="00706409">
              <w:rPr>
                <w:rFonts w:ascii="Arial" w:hAnsi="Arial" w:cs="Arial"/>
                <w:b/>
                <w:sz w:val="24"/>
                <w:szCs w:val="24"/>
              </w:rPr>
              <w:t>Public and Private sector investment</w:t>
            </w:r>
            <w:r w:rsidRPr="00706409">
              <w:rPr>
                <w:rFonts w:ascii="Arial" w:hAnsi="Arial" w:cs="Arial"/>
                <w:sz w:val="24"/>
                <w:szCs w:val="24"/>
              </w:rPr>
              <w:t xml:space="preserve"> – A total of £130.5m of public and private sector investment has been made in transport infrastructure since April 2018.</w:t>
            </w:r>
          </w:p>
          <w:p w:rsidR="00BC4E16" w:rsidRPr="00706409" w:rsidRDefault="00BC4E16" w:rsidP="00706409">
            <w:pPr>
              <w:tabs>
                <w:tab w:val="left" w:pos="29"/>
              </w:tabs>
              <w:spacing w:after="0" w:line="240" w:lineRule="auto"/>
              <w:ind w:left="29"/>
              <w:jc w:val="both"/>
              <w:rPr>
                <w:rFonts w:ascii="Arial" w:hAnsi="Arial" w:cs="Arial"/>
                <w:sz w:val="24"/>
                <w:szCs w:val="24"/>
              </w:rPr>
            </w:pPr>
          </w:p>
          <w:p w:rsidR="00706409" w:rsidRPr="00706409" w:rsidRDefault="00D205EF" w:rsidP="00706409">
            <w:pPr>
              <w:tabs>
                <w:tab w:val="left" w:pos="29"/>
              </w:tabs>
              <w:spacing w:after="0" w:line="240" w:lineRule="auto"/>
              <w:ind w:left="29"/>
              <w:jc w:val="both"/>
              <w:rPr>
                <w:rFonts w:ascii="Arial" w:hAnsi="Arial" w:cs="Arial"/>
                <w:sz w:val="24"/>
                <w:szCs w:val="24"/>
              </w:rPr>
            </w:pPr>
            <w:r w:rsidRPr="00706409">
              <w:rPr>
                <w:rFonts w:ascii="Arial" w:hAnsi="Arial" w:cs="Arial"/>
                <w:b/>
                <w:sz w:val="24"/>
                <w:szCs w:val="24"/>
              </w:rPr>
              <w:t>Infrastructure update</w:t>
            </w:r>
            <w:r w:rsidRPr="00706409">
              <w:rPr>
                <w:rFonts w:ascii="Arial" w:hAnsi="Arial" w:cs="Arial"/>
                <w:sz w:val="24"/>
                <w:szCs w:val="24"/>
              </w:rPr>
              <w:t xml:space="preserve"> – Appendix 4 provides an update on performance against milestones for all infrastructure schemes in quarter 4 (January – March 2019).  Overall good progress was made on key schemes such as the formal commitment to support the Preston Western Distributor by the City Deal Executive.  Good progress was also made on the delivery of the Broughton Corridor Works and the Penwortham bypass.</w:t>
            </w:r>
          </w:p>
          <w:p w:rsidR="00BC4E16" w:rsidRDefault="00BC4E16" w:rsidP="00706409">
            <w:pPr>
              <w:tabs>
                <w:tab w:val="left" w:pos="29"/>
              </w:tabs>
              <w:spacing w:after="0" w:line="240" w:lineRule="auto"/>
              <w:ind w:left="29"/>
              <w:jc w:val="both"/>
              <w:rPr>
                <w:rFonts w:ascii="Arial" w:hAnsi="Arial" w:cs="Arial"/>
                <w:b/>
                <w:sz w:val="24"/>
                <w:szCs w:val="24"/>
              </w:rPr>
            </w:pPr>
          </w:p>
          <w:p w:rsidR="00706409" w:rsidRPr="00706409" w:rsidRDefault="00D205EF" w:rsidP="00706409">
            <w:pPr>
              <w:tabs>
                <w:tab w:val="left" w:pos="29"/>
              </w:tabs>
              <w:spacing w:after="0" w:line="240" w:lineRule="auto"/>
              <w:ind w:left="29"/>
              <w:jc w:val="both"/>
              <w:rPr>
                <w:rFonts w:ascii="Arial" w:hAnsi="Arial" w:cs="Arial"/>
                <w:sz w:val="24"/>
                <w:szCs w:val="24"/>
              </w:rPr>
            </w:pPr>
            <w:r w:rsidRPr="00706409">
              <w:rPr>
                <w:rFonts w:ascii="Arial" w:hAnsi="Arial" w:cs="Arial"/>
                <w:b/>
                <w:sz w:val="24"/>
                <w:szCs w:val="24"/>
              </w:rPr>
              <w:t xml:space="preserve">Risk analysis and management </w:t>
            </w:r>
            <w:r w:rsidRPr="00706409">
              <w:rPr>
                <w:rFonts w:ascii="Arial" w:hAnsi="Arial" w:cs="Arial"/>
                <w:sz w:val="24"/>
                <w:szCs w:val="24"/>
              </w:rPr>
              <w:t xml:space="preserve">– </w:t>
            </w:r>
            <w:r w:rsidR="00BC4E16">
              <w:rPr>
                <w:rFonts w:ascii="Arial" w:hAnsi="Arial" w:cs="Arial"/>
                <w:sz w:val="24"/>
                <w:szCs w:val="24"/>
              </w:rPr>
              <w:t>A</w:t>
            </w:r>
            <w:r w:rsidRPr="00706409">
              <w:rPr>
                <w:rFonts w:ascii="Arial" w:hAnsi="Arial" w:cs="Arial"/>
                <w:sz w:val="24"/>
                <w:szCs w:val="24"/>
              </w:rPr>
              <w:t>ppendix 5 provides an overview of programme level risks and mitigating actions.</w:t>
            </w:r>
          </w:p>
          <w:p w:rsidR="00706409" w:rsidRPr="00706409" w:rsidRDefault="00F641D9" w:rsidP="00706409">
            <w:pPr>
              <w:tabs>
                <w:tab w:val="left" w:pos="0"/>
              </w:tabs>
              <w:spacing w:after="0" w:line="240" w:lineRule="auto"/>
              <w:ind w:left="29" w:hanging="29"/>
              <w:jc w:val="both"/>
              <w:rPr>
                <w:rFonts w:ascii="Arial" w:hAnsi="Arial" w:cs="Arial"/>
                <w:sz w:val="24"/>
                <w:szCs w:val="24"/>
                <w:highlight w:val="yellow"/>
              </w:rPr>
            </w:pPr>
          </w:p>
          <w:p w:rsidR="00706409" w:rsidRDefault="00D205EF" w:rsidP="00706409">
            <w:pPr>
              <w:keepNext/>
              <w:keepLines/>
              <w:tabs>
                <w:tab w:val="left" w:pos="0"/>
              </w:tabs>
              <w:spacing w:after="0" w:line="240" w:lineRule="auto"/>
              <w:ind w:left="29" w:hanging="29"/>
              <w:jc w:val="both"/>
              <w:outlineLvl w:val="4"/>
              <w:rPr>
                <w:rFonts w:ascii="Arial" w:eastAsiaTheme="majorEastAsia" w:hAnsi="Arial" w:cs="Arial"/>
                <w:b/>
                <w:sz w:val="24"/>
                <w:szCs w:val="24"/>
                <w:lang w:eastAsia="en-GB"/>
              </w:rPr>
            </w:pPr>
            <w:r w:rsidRPr="00706409">
              <w:rPr>
                <w:rFonts w:ascii="Arial" w:eastAsiaTheme="majorEastAsia" w:hAnsi="Arial" w:cs="Arial"/>
                <w:b/>
                <w:sz w:val="24"/>
                <w:szCs w:val="24"/>
                <w:lang w:eastAsia="en-GB"/>
              </w:rPr>
              <w:t>Recommendation</w:t>
            </w:r>
          </w:p>
          <w:p w:rsidR="00612BC9" w:rsidRPr="00706409" w:rsidRDefault="00612BC9" w:rsidP="00706409">
            <w:pPr>
              <w:keepNext/>
              <w:keepLines/>
              <w:tabs>
                <w:tab w:val="left" w:pos="0"/>
              </w:tabs>
              <w:spacing w:after="0" w:line="240" w:lineRule="auto"/>
              <w:ind w:left="29" w:hanging="29"/>
              <w:jc w:val="both"/>
              <w:outlineLvl w:val="4"/>
              <w:rPr>
                <w:rFonts w:ascii="Arial" w:eastAsiaTheme="majorEastAsia" w:hAnsi="Arial" w:cs="Arial"/>
                <w:b/>
                <w:sz w:val="24"/>
                <w:szCs w:val="24"/>
                <w:lang w:eastAsia="en-GB"/>
              </w:rPr>
            </w:pPr>
          </w:p>
          <w:p w:rsidR="00706409" w:rsidRPr="00706409" w:rsidRDefault="00D205EF" w:rsidP="00706409">
            <w:pPr>
              <w:tabs>
                <w:tab w:val="left" w:pos="0"/>
              </w:tabs>
              <w:spacing w:after="0" w:line="240" w:lineRule="auto"/>
              <w:ind w:left="29" w:hanging="29"/>
              <w:jc w:val="both"/>
              <w:rPr>
                <w:rFonts w:ascii="Arial" w:hAnsi="Arial" w:cs="Arial"/>
                <w:sz w:val="24"/>
                <w:szCs w:val="24"/>
              </w:rPr>
            </w:pPr>
            <w:r w:rsidRPr="00706409">
              <w:rPr>
                <w:rFonts w:ascii="Arial" w:hAnsi="Arial" w:cs="Arial"/>
                <w:sz w:val="24"/>
                <w:szCs w:val="24"/>
              </w:rPr>
              <w:t>The City Deal Executive and Stewardship Board is requested to note the overall performance of the Programme in the 2018/19 (Year 5) monitoring period and endorse the proposed return to Government as set out in the report.</w:t>
            </w:r>
          </w:p>
          <w:p w:rsidR="00D3134F" w:rsidRPr="00D3134F" w:rsidRDefault="00F641D9" w:rsidP="00706409">
            <w:pPr>
              <w:spacing w:after="0" w:line="240" w:lineRule="auto"/>
              <w:rPr>
                <w:rFonts w:ascii="Arial" w:hAnsi="Arial" w:cs="Arial"/>
                <w:sz w:val="24"/>
                <w:szCs w:val="24"/>
              </w:rPr>
            </w:pPr>
          </w:p>
        </w:tc>
      </w:tr>
    </w:tbl>
    <w:p w:rsidR="00D3134F" w:rsidRPr="00D3134F" w:rsidRDefault="00F641D9" w:rsidP="00D3134F">
      <w:pPr>
        <w:pStyle w:val="Header"/>
        <w:rPr>
          <w:rFonts w:ascii="Arial" w:hAnsi="Arial" w:cs="Arial"/>
          <w:sz w:val="24"/>
          <w:szCs w:val="24"/>
        </w:rPr>
      </w:pPr>
    </w:p>
    <w:p w:rsidR="00D3134F" w:rsidRPr="00D3134F" w:rsidRDefault="00D205EF" w:rsidP="00D3134F">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D3134F" w:rsidRDefault="00F641D9" w:rsidP="00D3134F">
      <w:pPr>
        <w:spacing w:after="0" w:line="240" w:lineRule="auto"/>
        <w:rPr>
          <w:rFonts w:ascii="Arial" w:hAnsi="Arial" w:cs="Arial"/>
          <w:b/>
          <w:sz w:val="24"/>
          <w:szCs w:val="24"/>
        </w:rPr>
      </w:pPr>
    </w:p>
    <w:p w:rsidR="00706409" w:rsidRPr="00706409" w:rsidRDefault="00D205EF" w:rsidP="00BC4E16">
      <w:pPr>
        <w:numPr>
          <w:ilvl w:val="0"/>
          <w:numId w:val="6"/>
        </w:numPr>
        <w:spacing w:after="0" w:line="240" w:lineRule="auto"/>
        <w:ind w:left="426" w:hanging="426"/>
        <w:contextualSpacing/>
        <w:jc w:val="both"/>
        <w:rPr>
          <w:rFonts w:ascii="Arial" w:hAnsi="Arial" w:cs="Arial"/>
          <w:b/>
          <w:sz w:val="24"/>
          <w:szCs w:val="24"/>
        </w:rPr>
      </w:pPr>
      <w:r w:rsidRPr="00706409">
        <w:rPr>
          <w:rFonts w:ascii="Arial" w:hAnsi="Arial" w:cs="Arial"/>
          <w:b/>
          <w:sz w:val="24"/>
          <w:szCs w:val="24"/>
        </w:rPr>
        <w:t xml:space="preserve">Background and Advice </w:t>
      </w:r>
    </w:p>
    <w:p w:rsidR="00706409" w:rsidRPr="00706409" w:rsidRDefault="00F641D9" w:rsidP="00706409">
      <w:pPr>
        <w:tabs>
          <w:tab w:val="left" w:pos="426"/>
        </w:tabs>
        <w:spacing w:after="0" w:line="240" w:lineRule="auto"/>
        <w:jc w:val="both"/>
        <w:rPr>
          <w:rFonts w:ascii="Arial" w:hAnsi="Arial" w:cs="Arial"/>
          <w:b/>
          <w:sz w:val="24"/>
          <w:szCs w:val="24"/>
        </w:rPr>
      </w:pPr>
    </w:p>
    <w:p w:rsidR="00706409" w:rsidRPr="00706409" w:rsidRDefault="00D205EF" w:rsidP="00706409">
      <w:pPr>
        <w:tabs>
          <w:tab w:val="left" w:pos="426"/>
        </w:tabs>
        <w:spacing w:after="0" w:line="240" w:lineRule="auto"/>
        <w:ind w:left="426" w:hanging="426"/>
        <w:jc w:val="both"/>
        <w:rPr>
          <w:rFonts w:ascii="Arial" w:hAnsi="Arial" w:cs="Arial"/>
          <w:sz w:val="24"/>
          <w:szCs w:val="24"/>
        </w:rPr>
      </w:pPr>
      <w:r w:rsidRPr="00706409">
        <w:rPr>
          <w:rFonts w:ascii="Arial" w:hAnsi="Arial" w:cs="Arial"/>
          <w:sz w:val="24"/>
          <w:szCs w:val="24"/>
        </w:rPr>
        <w:t xml:space="preserve">1.1 This report provides an update on performance over the last year on both core and supporting outputs.  </w:t>
      </w:r>
    </w:p>
    <w:p w:rsidR="00706409" w:rsidRPr="00706409" w:rsidRDefault="00F641D9" w:rsidP="00706409">
      <w:pPr>
        <w:tabs>
          <w:tab w:val="left" w:pos="426"/>
        </w:tabs>
        <w:spacing w:after="0" w:line="240" w:lineRule="auto"/>
        <w:ind w:left="360" w:hanging="360"/>
        <w:contextualSpacing/>
        <w:jc w:val="both"/>
        <w:rPr>
          <w:rFonts w:ascii="Arial" w:hAnsi="Arial" w:cs="Arial"/>
          <w:sz w:val="24"/>
          <w:szCs w:val="24"/>
        </w:rPr>
      </w:pPr>
    </w:p>
    <w:p w:rsidR="00706409" w:rsidRPr="00706409" w:rsidRDefault="00D205EF" w:rsidP="00706409">
      <w:pPr>
        <w:tabs>
          <w:tab w:val="left" w:pos="426"/>
        </w:tabs>
        <w:spacing w:after="0" w:line="240" w:lineRule="auto"/>
        <w:jc w:val="both"/>
        <w:rPr>
          <w:rFonts w:ascii="Arial" w:hAnsi="Arial" w:cs="Arial"/>
          <w:b/>
          <w:sz w:val="24"/>
          <w:szCs w:val="24"/>
        </w:rPr>
      </w:pPr>
      <w:r w:rsidRPr="00706409">
        <w:rPr>
          <w:rFonts w:ascii="Arial" w:hAnsi="Arial" w:cs="Arial"/>
          <w:b/>
          <w:sz w:val="24"/>
          <w:szCs w:val="24"/>
        </w:rPr>
        <w:t xml:space="preserve">2.0 Housing Outputs </w:t>
      </w:r>
    </w:p>
    <w:p w:rsidR="00706409" w:rsidRPr="00706409" w:rsidRDefault="00F641D9" w:rsidP="00706409">
      <w:pPr>
        <w:tabs>
          <w:tab w:val="left" w:pos="426"/>
        </w:tabs>
        <w:spacing w:after="0" w:line="240" w:lineRule="auto"/>
        <w:jc w:val="both"/>
        <w:rPr>
          <w:rFonts w:ascii="Arial" w:hAnsi="Arial" w:cs="Arial"/>
          <w:sz w:val="24"/>
          <w:szCs w:val="24"/>
        </w:rPr>
      </w:pPr>
    </w:p>
    <w:p w:rsidR="00706409" w:rsidRPr="00706409" w:rsidRDefault="00D205EF" w:rsidP="00706409">
      <w:pPr>
        <w:tabs>
          <w:tab w:val="left" w:pos="426"/>
        </w:tabs>
        <w:spacing w:after="0" w:line="240" w:lineRule="auto"/>
        <w:ind w:left="426" w:hanging="426"/>
        <w:jc w:val="both"/>
        <w:rPr>
          <w:rFonts w:ascii="Arial" w:hAnsi="Arial" w:cs="Arial"/>
          <w:sz w:val="24"/>
          <w:szCs w:val="24"/>
        </w:rPr>
      </w:pPr>
      <w:r w:rsidRPr="00706409">
        <w:rPr>
          <w:rFonts w:ascii="Arial" w:hAnsi="Arial" w:cs="Arial"/>
          <w:sz w:val="24"/>
          <w:szCs w:val="24"/>
        </w:rPr>
        <w:t>2.1 In 2018 the city deal housing delivery profile was reviewed and updated by Hive independent land and planning consultants.    The revised profile has been used to set the targets for this monitoring period.</w:t>
      </w:r>
    </w:p>
    <w:p w:rsidR="00706409" w:rsidRPr="00706409" w:rsidRDefault="00F641D9" w:rsidP="00706409">
      <w:pPr>
        <w:tabs>
          <w:tab w:val="left" w:pos="426"/>
        </w:tabs>
        <w:spacing w:after="0" w:line="240" w:lineRule="auto"/>
        <w:ind w:left="426" w:hanging="426"/>
        <w:jc w:val="both"/>
        <w:rPr>
          <w:rFonts w:ascii="Arial" w:hAnsi="Arial" w:cs="Arial"/>
          <w:sz w:val="24"/>
          <w:szCs w:val="24"/>
        </w:rPr>
      </w:pPr>
    </w:p>
    <w:p w:rsidR="00706409" w:rsidRPr="00706409" w:rsidRDefault="00D205EF" w:rsidP="00706409">
      <w:pPr>
        <w:spacing w:after="0" w:line="240" w:lineRule="auto"/>
        <w:ind w:left="426" w:hanging="426"/>
        <w:jc w:val="both"/>
        <w:rPr>
          <w:rFonts w:ascii="Arial" w:hAnsi="Arial" w:cs="Arial"/>
          <w:sz w:val="24"/>
          <w:szCs w:val="24"/>
        </w:rPr>
      </w:pPr>
      <w:r w:rsidRPr="00706409">
        <w:rPr>
          <w:rFonts w:ascii="Arial" w:hAnsi="Arial" w:cs="Arial"/>
          <w:sz w:val="24"/>
          <w:szCs w:val="24"/>
        </w:rPr>
        <w:t xml:space="preserve">2.2 </w:t>
      </w:r>
      <w:r w:rsidRPr="00706409">
        <w:rPr>
          <w:rFonts w:ascii="Arial" w:hAnsi="Arial" w:cs="Arial"/>
          <w:sz w:val="24"/>
          <w:szCs w:val="24"/>
        </w:rPr>
        <w:tab/>
        <w:t xml:space="preserve">Overall, since the start of the Deal period, housing completions stand at </w:t>
      </w:r>
      <w:r w:rsidRPr="00706409">
        <w:rPr>
          <w:rFonts w:ascii="Arial" w:hAnsi="Arial" w:cs="Arial"/>
          <w:b/>
          <w:sz w:val="24"/>
          <w:szCs w:val="24"/>
        </w:rPr>
        <w:t xml:space="preserve">4991 </w:t>
      </w:r>
      <w:r w:rsidRPr="00706409">
        <w:rPr>
          <w:rFonts w:ascii="Arial" w:hAnsi="Arial" w:cs="Arial"/>
          <w:sz w:val="24"/>
          <w:szCs w:val="24"/>
        </w:rPr>
        <w:t xml:space="preserve">with </w:t>
      </w:r>
      <w:r w:rsidRPr="00706409">
        <w:rPr>
          <w:rFonts w:ascii="Arial" w:hAnsi="Arial" w:cs="Arial"/>
          <w:b/>
          <w:sz w:val="24"/>
          <w:szCs w:val="24"/>
        </w:rPr>
        <w:t xml:space="preserve">1,289 </w:t>
      </w:r>
      <w:r w:rsidRPr="00706409">
        <w:rPr>
          <w:rFonts w:ascii="Arial" w:hAnsi="Arial" w:cs="Arial"/>
          <w:sz w:val="24"/>
          <w:szCs w:val="24"/>
        </w:rPr>
        <w:t xml:space="preserve">completions in the last year between April 2018 and March 2019 against a target of </w:t>
      </w:r>
      <w:r w:rsidRPr="00706409">
        <w:rPr>
          <w:rFonts w:ascii="Arial" w:hAnsi="Arial" w:cs="Arial"/>
          <w:b/>
          <w:sz w:val="24"/>
          <w:szCs w:val="24"/>
        </w:rPr>
        <w:t>1130</w:t>
      </w:r>
      <w:r w:rsidRPr="00706409">
        <w:rPr>
          <w:rFonts w:ascii="Arial" w:hAnsi="Arial" w:cs="Arial"/>
          <w:sz w:val="24"/>
          <w:szCs w:val="24"/>
        </w:rPr>
        <w:t xml:space="preserve">.  Of the unit completions this year </w:t>
      </w:r>
      <w:r w:rsidRPr="00706409">
        <w:rPr>
          <w:rFonts w:ascii="Arial" w:hAnsi="Arial" w:cs="Arial"/>
          <w:b/>
          <w:sz w:val="24"/>
          <w:szCs w:val="24"/>
        </w:rPr>
        <w:t>928</w:t>
      </w:r>
      <w:r w:rsidRPr="00706409">
        <w:rPr>
          <w:rFonts w:ascii="Arial" w:hAnsi="Arial" w:cs="Arial"/>
          <w:sz w:val="24"/>
          <w:szCs w:val="24"/>
        </w:rPr>
        <w:t xml:space="preserve"> were on City Deal named sites, </w:t>
      </w:r>
      <w:r w:rsidRPr="00706409">
        <w:rPr>
          <w:rFonts w:ascii="Arial" w:hAnsi="Arial" w:cs="Arial"/>
          <w:b/>
          <w:sz w:val="24"/>
          <w:szCs w:val="24"/>
        </w:rPr>
        <w:t>361</w:t>
      </w:r>
      <w:r w:rsidRPr="00706409">
        <w:rPr>
          <w:rFonts w:ascii="Arial" w:hAnsi="Arial" w:cs="Arial"/>
          <w:sz w:val="24"/>
          <w:szCs w:val="24"/>
        </w:rPr>
        <w:t xml:space="preserve"> were on other non – City Deal sites (windfalls).</w:t>
      </w:r>
    </w:p>
    <w:p w:rsidR="00706409" w:rsidRPr="00706409" w:rsidRDefault="00F641D9" w:rsidP="00706409">
      <w:pPr>
        <w:tabs>
          <w:tab w:val="left" w:pos="426"/>
        </w:tabs>
        <w:spacing w:after="0" w:line="240" w:lineRule="auto"/>
        <w:ind w:left="426" w:hanging="426"/>
        <w:jc w:val="both"/>
        <w:rPr>
          <w:rFonts w:ascii="Arial" w:hAnsi="Arial" w:cs="Arial"/>
          <w:sz w:val="24"/>
          <w:szCs w:val="24"/>
        </w:rPr>
      </w:pPr>
    </w:p>
    <w:p w:rsidR="00706409" w:rsidRPr="00706409" w:rsidRDefault="00D205EF" w:rsidP="00706409">
      <w:pPr>
        <w:spacing w:after="0" w:line="240" w:lineRule="auto"/>
        <w:ind w:left="426" w:hanging="426"/>
        <w:jc w:val="both"/>
        <w:rPr>
          <w:rFonts w:ascii="Arial" w:hAnsi="Arial" w:cs="Arial"/>
          <w:sz w:val="24"/>
          <w:szCs w:val="24"/>
        </w:rPr>
      </w:pPr>
      <w:r w:rsidRPr="00706409">
        <w:rPr>
          <w:rFonts w:ascii="Arial" w:hAnsi="Arial" w:cs="Arial"/>
          <w:sz w:val="24"/>
          <w:szCs w:val="24"/>
        </w:rPr>
        <w:t xml:space="preserve">2.3 In the last year a total of </w:t>
      </w:r>
      <w:r w:rsidRPr="00706409">
        <w:rPr>
          <w:rFonts w:ascii="Arial" w:hAnsi="Arial" w:cs="Arial"/>
          <w:b/>
          <w:sz w:val="24"/>
          <w:szCs w:val="24"/>
        </w:rPr>
        <w:t>3644</w:t>
      </w:r>
      <w:r w:rsidRPr="00706409">
        <w:rPr>
          <w:rFonts w:ascii="Arial" w:hAnsi="Arial" w:cs="Arial"/>
          <w:sz w:val="24"/>
          <w:szCs w:val="24"/>
        </w:rPr>
        <w:t xml:space="preserve"> units were submitted for planning and </w:t>
      </w:r>
      <w:r w:rsidRPr="00706409">
        <w:rPr>
          <w:rFonts w:ascii="Arial" w:hAnsi="Arial" w:cs="Arial"/>
          <w:b/>
          <w:sz w:val="24"/>
          <w:szCs w:val="24"/>
        </w:rPr>
        <w:t>3008</w:t>
      </w:r>
      <w:r w:rsidRPr="00706409">
        <w:rPr>
          <w:rFonts w:ascii="Arial" w:hAnsi="Arial" w:cs="Arial"/>
          <w:sz w:val="24"/>
          <w:szCs w:val="24"/>
        </w:rPr>
        <w:t xml:space="preserve"> units were consented, receiving outline or full planning permission.  Cumulatively a total of </w:t>
      </w:r>
      <w:r w:rsidRPr="00706409">
        <w:rPr>
          <w:rFonts w:ascii="Arial" w:hAnsi="Arial" w:cs="Arial"/>
          <w:b/>
          <w:sz w:val="24"/>
          <w:szCs w:val="24"/>
        </w:rPr>
        <w:t xml:space="preserve">16,654 </w:t>
      </w:r>
      <w:r w:rsidRPr="00706409">
        <w:rPr>
          <w:rFonts w:ascii="Arial" w:hAnsi="Arial" w:cs="Arial"/>
          <w:sz w:val="24"/>
          <w:szCs w:val="24"/>
        </w:rPr>
        <w:t xml:space="preserve">housing units have been submitted for planning to date, with </w:t>
      </w:r>
      <w:r w:rsidRPr="00706409">
        <w:rPr>
          <w:rFonts w:ascii="Arial" w:hAnsi="Arial" w:cs="Arial"/>
          <w:b/>
          <w:sz w:val="24"/>
          <w:szCs w:val="24"/>
        </w:rPr>
        <w:t>15,537</w:t>
      </w:r>
      <w:r w:rsidRPr="00706409">
        <w:rPr>
          <w:rFonts w:ascii="Arial" w:hAnsi="Arial" w:cs="Arial"/>
          <w:sz w:val="24"/>
          <w:szCs w:val="24"/>
        </w:rPr>
        <w:t xml:space="preserve"> being consented.    </w:t>
      </w:r>
    </w:p>
    <w:p w:rsidR="00706409" w:rsidRPr="00706409" w:rsidRDefault="00F641D9" w:rsidP="00706409">
      <w:pPr>
        <w:spacing w:after="0" w:line="240" w:lineRule="auto"/>
        <w:ind w:left="426" w:hanging="426"/>
        <w:jc w:val="both"/>
        <w:rPr>
          <w:rFonts w:ascii="Arial" w:hAnsi="Arial" w:cs="Arial"/>
          <w:sz w:val="24"/>
          <w:szCs w:val="24"/>
        </w:rPr>
      </w:pPr>
    </w:p>
    <w:p w:rsidR="00706409" w:rsidRPr="00706409" w:rsidRDefault="00D205EF" w:rsidP="00706409">
      <w:pPr>
        <w:spacing w:after="0" w:line="240" w:lineRule="auto"/>
        <w:ind w:left="426" w:hanging="426"/>
        <w:jc w:val="both"/>
        <w:rPr>
          <w:rFonts w:ascii="Arial" w:hAnsi="Arial" w:cs="Arial"/>
          <w:sz w:val="24"/>
          <w:szCs w:val="24"/>
        </w:rPr>
      </w:pPr>
      <w:r w:rsidRPr="00706409">
        <w:rPr>
          <w:rFonts w:ascii="Arial" w:hAnsi="Arial" w:cs="Arial"/>
          <w:sz w:val="24"/>
          <w:szCs w:val="24"/>
        </w:rPr>
        <w:t xml:space="preserve">2.4 Overall there has been a strong trend of planning submissions across the city Deal area on 'windfall sites'.  This is evident in both Preston and South </w:t>
      </w:r>
      <w:proofErr w:type="spellStart"/>
      <w:r w:rsidRPr="00706409">
        <w:rPr>
          <w:rFonts w:ascii="Arial" w:hAnsi="Arial" w:cs="Arial"/>
          <w:sz w:val="24"/>
          <w:szCs w:val="24"/>
        </w:rPr>
        <w:t>Ribble</w:t>
      </w:r>
      <w:proofErr w:type="spellEnd"/>
      <w:r w:rsidRPr="00706409">
        <w:rPr>
          <w:rFonts w:ascii="Arial" w:hAnsi="Arial" w:cs="Arial"/>
          <w:sz w:val="24"/>
          <w:szCs w:val="24"/>
        </w:rPr>
        <w:t xml:space="preserve">.  The </w:t>
      </w:r>
      <w:r w:rsidRPr="00706409">
        <w:rPr>
          <w:rFonts w:ascii="Arial" w:hAnsi="Arial" w:cs="Arial"/>
          <w:sz w:val="24"/>
          <w:szCs w:val="24"/>
        </w:rPr>
        <w:lastRenderedPageBreak/>
        <w:t xml:space="preserve">main difference however, is that applications in South </w:t>
      </w:r>
      <w:proofErr w:type="spellStart"/>
      <w:r w:rsidRPr="00706409">
        <w:rPr>
          <w:rFonts w:ascii="Arial" w:hAnsi="Arial" w:cs="Arial"/>
          <w:sz w:val="24"/>
          <w:szCs w:val="24"/>
        </w:rPr>
        <w:t>Ribble</w:t>
      </w:r>
      <w:proofErr w:type="spellEnd"/>
      <w:r w:rsidRPr="00706409">
        <w:rPr>
          <w:rFonts w:ascii="Arial" w:hAnsi="Arial" w:cs="Arial"/>
          <w:sz w:val="24"/>
          <w:szCs w:val="24"/>
        </w:rPr>
        <w:t xml:space="preserve"> tend to be for single units on a large number of sites whereas in Preston the picture for windfall sites is mixed with some large sites and a number of single unit sites.</w:t>
      </w:r>
    </w:p>
    <w:p w:rsidR="00706409" w:rsidRPr="00706409" w:rsidRDefault="00D205EF" w:rsidP="00706409">
      <w:pPr>
        <w:spacing w:after="0" w:line="240" w:lineRule="auto"/>
        <w:ind w:left="426" w:hanging="426"/>
        <w:jc w:val="both"/>
        <w:rPr>
          <w:rFonts w:ascii="Arial" w:hAnsi="Arial" w:cs="Arial"/>
          <w:sz w:val="24"/>
          <w:szCs w:val="24"/>
        </w:rPr>
      </w:pPr>
      <w:r w:rsidRPr="00706409">
        <w:rPr>
          <w:rFonts w:ascii="Arial" w:hAnsi="Arial" w:cs="Arial"/>
          <w:sz w:val="24"/>
          <w:szCs w:val="24"/>
        </w:rPr>
        <w:t xml:space="preserve"> </w:t>
      </w:r>
    </w:p>
    <w:p w:rsidR="00706409" w:rsidRPr="00706409" w:rsidRDefault="00D205EF" w:rsidP="00706409">
      <w:pPr>
        <w:spacing w:after="0" w:line="240" w:lineRule="auto"/>
        <w:ind w:left="426" w:hanging="426"/>
        <w:jc w:val="both"/>
        <w:rPr>
          <w:rFonts w:ascii="Arial" w:hAnsi="Arial" w:cs="Arial"/>
          <w:sz w:val="24"/>
          <w:szCs w:val="24"/>
        </w:rPr>
      </w:pPr>
      <w:r w:rsidRPr="00706409">
        <w:rPr>
          <w:rFonts w:ascii="Arial" w:hAnsi="Arial" w:cs="Arial"/>
          <w:sz w:val="24"/>
          <w:szCs w:val="24"/>
        </w:rPr>
        <w:t xml:space="preserve">2.5 A total of </w:t>
      </w:r>
      <w:r w:rsidRPr="00706409">
        <w:rPr>
          <w:rFonts w:ascii="Arial" w:hAnsi="Arial" w:cs="Arial"/>
          <w:b/>
          <w:sz w:val="24"/>
          <w:szCs w:val="24"/>
        </w:rPr>
        <w:t>479</w:t>
      </w:r>
      <w:r w:rsidRPr="00706409">
        <w:rPr>
          <w:rFonts w:ascii="Arial" w:hAnsi="Arial" w:cs="Arial"/>
          <w:sz w:val="24"/>
          <w:szCs w:val="24"/>
        </w:rPr>
        <w:t xml:space="preserve"> units were submitted for planning (outline and full) in South </w:t>
      </w:r>
      <w:proofErr w:type="spellStart"/>
      <w:r w:rsidRPr="00706409">
        <w:rPr>
          <w:rFonts w:ascii="Arial" w:hAnsi="Arial" w:cs="Arial"/>
          <w:sz w:val="24"/>
          <w:szCs w:val="24"/>
        </w:rPr>
        <w:t>Ribble</w:t>
      </w:r>
      <w:proofErr w:type="spellEnd"/>
      <w:r w:rsidRPr="00706409">
        <w:rPr>
          <w:rFonts w:ascii="Arial" w:hAnsi="Arial" w:cs="Arial"/>
          <w:sz w:val="24"/>
          <w:szCs w:val="24"/>
        </w:rPr>
        <w:t xml:space="preserve">    with all of these on windfall sites.  Reserved matters applications were submitted on </w:t>
      </w:r>
      <w:proofErr w:type="spellStart"/>
      <w:r w:rsidRPr="00706409">
        <w:rPr>
          <w:rFonts w:ascii="Arial" w:hAnsi="Arial" w:cs="Arial"/>
          <w:sz w:val="24"/>
          <w:szCs w:val="24"/>
        </w:rPr>
        <w:t>Altcar</w:t>
      </w:r>
      <w:proofErr w:type="spellEnd"/>
      <w:r w:rsidRPr="00706409">
        <w:rPr>
          <w:rFonts w:ascii="Arial" w:hAnsi="Arial" w:cs="Arial"/>
          <w:sz w:val="24"/>
          <w:szCs w:val="24"/>
        </w:rPr>
        <w:t xml:space="preserve"> lane </w:t>
      </w:r>
      <w:proofErr w:type="gramStart"/>
      <w:r w:rsidRPr="00706409">
        <w:rPr>
          <w:rFonts w:ascii="Arial" w:hAnsi="Arial" w:cs="Arial"/>
          <w:sz w:val="24"/>
          <w:szCs w:val="24"/>
        </w:rPr>
        <w:t>North</w:t>
      </w:r>
      <w:proofErr w:type="gramEnd"/>
      <w:r w:rsidRPr="00706409">
        <w:rPr>
          <w:rFonts w:ascii="Arial" w:hAnsi="Arial" w:cs="Arial"/>
          <w:sz w:val="24"/>
          <w:szCs w:val="24"/>
        </w:rPr>
        <w:t xml:space="preserve"> for 200 units and Moss Lane </w:t>
      </w:r>
      <w:proofErr w:type="spellStart"/>
      <w:r w:rsidRPr="00706409">
        <w:rPr>
          <w:rFonts w:ascii="Arial" w:hAnsi="Arial" w:cs="Arial"/>
          <w:sz w:val="24"/>
          <w:szCs w:val="24"/>
        </w:rPr>
        <w:t>Heatherleigh</w:t>
      </w:r>
      <w:proofErr w:type="spellEnd"/>
      <w:r w:rsidRPr="00706409">
        <w:rPr>
          <w:rFonts w:ascii="Arial" w:hAnsi="Arial" w:cs="Arial"/>
          <w:sz w:val="24"/>
          <w:szCs w:val="24"/>
        </w:rPr>
        <w:t xml:space="preserve">, (north of southern section) for 175 units.    Units consented in South </w:t>
      </w:r>
      <w:proofErr w:type="spellStart"/>
      <w:r w:rsidRPr="00706409">
        <w:rPr>
          <w:rFonts w:ascii="Arial" w:hAnsi="Arial" w:cs="Arial"/>
          <w:sz w:val="24"/>
          <w:szCs w:val="24"/>
        </w:rPr>
        <w:t>Ribble</w:t>
      </w:r>
      <w:proofErr w:type="spellEnd"/>
      <w:r w:rsidRPr="00706409">
        <w:rPr>
          <w:rFonts w:ascii="Arial" w:hAnsi="Arial" w:cs="Arial"/>
          <w:sz w:val="24"/>
          <w:szCs w:val="24"/>
        </w:rPr>
        <w:t xml:space="preserve"> totalled </w:t>
      </w:r>
      <w:r w:rsidRPr="00706409">
        <w:rPr>
          <w:rFonts w:ascii="Arial" w:hAnsi="Arial" w:cs="Arial"/>
          <w:b/>
          <w:sz w:val="24"/>
          <w:szCs w:val="24"/>
        </w:rPr>
        <w:t>704,</w:t>
      </w:r>
      <w:r w:rsidRPr="00706409">
        <w:rPr>
          <w:rFonts w:ascii="Arial" w:hAnsi="Arial" w:cs="Arial"/>
          <w:sz w:val="24"/>
          <w:szCs w:val="24"/>
        </w:rPr>
        <w:t xml:space="preserve"> with </w:t>
      </w:r>
      <w:r w:rsidRPr="00706409">
        <w:rPr>
          <w:rFonts w:ascii="Arial" w:hAnsi="Arial" w:cs="Arial"/>
          <w:b/>
          <w:sz w:val="24"/>
          <w:szCs w:val="24"/>
        </w:rPr>
        <w:t>454</w:t>
      </w:r>
      <w:r w:rsidRPr="00706409">
        <w:rPr>
          <w:rFonts w:ascii="Arial" w:hAnsi="Arial" w:cs="Arial"/>
          <w:sz w:val="24"/>
          <w:szCs w:val="24"/>
        </w:rPr>
        <w:t xml:space="preserve"> (outline and full) on named sites and </w:t>
      </w:r>
      <w:r w:rsidRPr="00706409">
        <w:rPr>
          <w:rFonts w:ascii="Arial" w:hAnsi="Arial" w:cs="Arial"/>
          <w:b/>
          <w:sz w:val="24"/>
          <w:szCs w:val="24"/>
        </w:rPr>
        <w:t>250</w:t>
      </w:r>
      <w:r w:rsidRPr="00706409">
        <w:rPr>
          <w:rFonts w:ascii="Arial" w:hAnsi="Arial" w:cs="Arial"/>
          <w:sz w:val="24"/>
          <w:szCs w:val="24"/>
        </w:rPr>
        <w:t xml:space="preserve"> on windfall. Reserved matters applications were granted on </w:t>
      </w:r>
      <w:proofErr w:type="spellStart"/>
      <w:r w:rsidRPr="00706409">
        <w:rPr>
          <w:rFonts w:ascii="Arial" w:hAnsi="Arial" w:cs="Arial"/>
          <w:sz w:val="24"/>
          <w:szCs w:val="24"/>
        </w:rPr>
        <w:t>Altcar</w:t>
      </w:r>
      <w:proofErr w:type="spellEnd"/>
      <w:r w:rsidRPr="00706409">
        <w:rPr>
          <w:rFonts w:ascii="Arial" w:hAnsi="Arial" w:cs="Arial"/>
          <w:sz w:val="24"/>
          <w:szCs w:val="24"/>
        </w:rPr>
        <w:t xml:space="preserve"> Lane and </w:t>
      </w:r>
      <w:proofErr w:type="spellStart"/>
      <w:r w:rsidRPr="00706409">
        <w:rPr>
          <w:rFonts w:ascii="Arial" w:hAnsi="Arial" w:cs="Arial"/>
          <w:sz w:val="24"/>
          <w:szCs w:val="24"/>
        </w:rPr>
        <w:t>Altcar</w:t>
      </w:r>
      <w:proofErr w:type="spellEnd"/>
      <w:r w:rsidRPr="00706409">
        <w:rPr>
          <w:rFonts w:ascii="Arial" w:hAnsi="Arial" w:cs="Arial"/>
          <w:sz w:val="24"/>
          <w:szCs w:val="24"/>
        </w:rPr>
        <w:t xml:space="preserve"> Lane North and </w:t>
      </w:r>
      <w:proofErr w:type="spellStart"/>
      <w:r w:rsidRPr="00706409">
        <w:rPr>
          <w:rFonts w:ascii="Arial" w:hAnsi="Arial" w:cs="Arial"/>
          <w:sz w:val="24"/>
          <w:szCs w:val="24"/>
        </w:rPr>
        <w:t>Wheelton</w:t>
      </w:r>
      <w:proofErr w:type="spellEnd"/>
      <w:r w:rsidRPr="00706409">
        <w:rPr>
          <w:rFonts w:ascii="Arial" w:hAnsi="Arial" w:cs="Arial"/>
          <w:sz w:val="24"/>
          <w:szCs w:val="24"/>
        </w:rPr>
        <w:t xml:space="preserve"> lane for a total of </w:t>
      </w:r>
      <w:r w:rsidRPr="00706409">
        <w:rPr>
          <w:rFonts w:ascii="Arial" w:hAnsi="Arial" w:cs="Arial"/>
          <w:b/>
          <w:sz w:val="24"/>
          <w:szCs w:val="24"/>
        </w:rPr>
        <w:t>631</w:t>
      </w:r>
      <w:r w:rsidRPr="00706409">
        <w:rPr>
          <w:rFonts w:ascii="Arial" w:hAnsi="Arial" w:cs="Arial"/>
          <w:sz w:val="24"/>
          <w:szCs w:val="24"/>
        </w:rPr>
        <w:t xml:space="preserve"> units. Whilst reserved matters applications are not counted in the units submitted or consented, as they are not new units, they do represent positive progress towards build out on key sites.   In Preston a total of </w:t>
      </w:r>
      <w:r w:rsidRPr="00706409">
        <w:rPr>
          <w:rFonts w:ascii="Arial" w:hAnsi="Arial" w:cs="Arial"/>
          <w:b/>
          <w:sz w:val="24"/>
          <w:szCs w:val="24"/>
        </w:rPr>
        <w:t>3165</w:t>
      </w:r>
      <w:r w:rsidRPr="00706409">
        <w:rPr>
          <w:rFonts w:ascii="Arial" w:hAnsi="Arial" w:cs="Arial"/>
          <w:sz w:val="24"/>
          <w:szCs w:val="24"/>
        </w:rPr>
        <w:t xml:space="preserve"> units were submitted for planning (outline and full) in the last year with </w:t>
      </w:r>
      <w:r w:rsidRPr="00706409">
        <w:rPr>
          <w:rFonts w:ascii="Arial" w:hAnsi="Arial" w:cs="Arial"/>
          <w:b/>
          <w:sz w:val="24"/>
          <w:szCs w:val="24"/>
        </w:rPr>
        <w:t>1103</w:t>
      </w:r>
      <w:r w:rsidRPr="00706409">
        <w:rPr>
          <w:rFonts w:ascii="Arial" w:hAnsi="Arial" w:cs="Arial"/>
          <w:sz w:val="24"/>
          <w:szCs w:val="24"/>
        </w:rPr>
        <w:t xml:space="preserve"> on named and </w:t>
      </w:r>
      <w:r w:rsidRPr="00706409">
        <w:rPr>
          <w:rFonts w:ascii="Arial" w:hAnsi="Arial" w:cs="Arial"/>
          <w:b/>
          <w:sz w:val="24"/>
          <w:szCs w:val="24"/>
        </w:rPr>
        <w:t>2062</w:t>
      </w:r>
      <w:r w:rsidRPr="00706409">
        <w:rPr>
          <w:rFonts w:ascii="Arial" w:hAnsi="Arial" w:cs="Arial"/>
          <w:sz w:val="24"/>
          <w:szCs w:val="24"/>
        </w:rPr>
        <w:t xml:space="preserve"> on windfall sites.  The largest single submission was for </w:t>
      </w:r>
      <w:r w:rsidRPr="00706409">
        <w:rPr>
          <w:rFonts w:ascii="Arial" w:hAnsi="Arial" w:cs="Arial"/>
          <w:b/>
          <w:sz w:val="24"/>
          <w:szCs w:val="24"/>
        </w:rPr>
        <w:t>750</w:t>
      </w:r>
      <w:r w:rsidRPr="00706409">
        <w:rPr>
          <w:rFonts w:ascii="Arial" w:hAnsi="Arial" w:cs="Arial"/>
          <w:sz w:val="24"/>
          <w:szCs w:val="24"/>
        </w:rPr>
        <w:t xml:space="preserve"> units outline permission on the former </w:t>
      </w:r>
      <w:proofErr w:type="spellStart"/>
      <w:r w:rsidRPr="00706409">
        <w:rPr>
          <w:rFonts w:ascii="Arial" w:hAnsi="Arial" w:cs="Arial"/>
          <w:sz w:val="24"/>
          <w:szCs w:val="24"/>
        </w:rPr>
        <w:t>Whittingham</w:t>
      </w:r>
      <w:proofErr w:type="spellEnd"/>
      <w:r w:rsidRPr="00706409">
        <w:rPr>
          <w:rFonts w:ascii="Arial" w:hAnsi="Arial" w:cs="Arial"/>
          <w:sz w:val="24"/>
          <w:szCs w:val="24"/>
        </w:rPr>
        <w:t xml:space="preserve"> Hospital Site with the remainder on NW Preston sites. Planning submissions on windfall sites in Preston originated from 162 sites in total but the majority of units were on just 12 sites (1366 on 12 sites).  </w:t>
      </w:r>
    </w:p>
    <w:p w:rsidR="00706409" w:rsidRPr="00706409" w:rsidRDefault="00D205EF" w:rsidP="00706409">
      <w:pPr>
        <w:spacing w:after="0" w:line="240" w:lineRule="auto"/>
        <w:ind w:left="426" w:hanging="426"/>
        <w:jc w:val="both"/>
        <w:rPr>
          <w:rFonts w:ascii="Arial" w:hAnsi="Arial" w:cs="Arial"/>
          <w:sz w:val="24"/>
          <w:szCs w:val="24"/>
        </w:rPr>
      </w:pPr>
      <w:r w:rsidRPr="00706409">
        <w:rPr>
          <w:rFonts w:ascii="Arial" w:hAnsi="Arial" w:cs="Arial"/>
          <w:sz w:val="24"/>
          <w:szCs w:val="24"/>
        </w:rPr>
        <w:t xml:space="preserve"> </w:t>
      </w:r>
    </w:p>
    <w:p w:rsidR="00706409" w:rsidRPr="00706409" w:rsidRDefault="00D205EF" w:rsidP="00706409">
      <w:pPr>
        <w:spacing w:after="0" w:line="240" w:lineRule="auto"/>
        <w:ind w:left="426" w:hanging="426"/>
        <w:jc w:val="both"/>
        <w:rPr>
          <w:rFonts w:ascii="Arial" w:hAnsi="Arial" w:cs="Arial"/>
          <w:sz w:val="24"/>
          <w:szCs w:val="24"/>
        </w:rPr>
      </w:pPr>
      <w:r w:rsidRPr="00706409">
        <w:rPr>
          <w:rFonts w:ascii="Arial" w:hAnsi="Arial" w:cs="Arial"/>
          <w:sz w:val="24"/>
          <w:szCs w:val="24"/>
        </w:rPr>
        <w:t>2.6 The Steer review recommended that site progress could be more accurately measured by assessing the full range of planning permissions.    Future reports will provide a full breakdown of units submitted and consented by outline, full and reserved matters applications in order to fully assess the development pipeline.</w:t>
      </w:r>
    </w:p>
    <w:p w:rsidR="00706409" w:rsidRPr="00706409" w:rsidRDefault="00D205EF" w:rsidP="00706409">
      <w:pPr>
        <w:spacing w:after="0" w:line="240" w:lineRule="auto"/>
        <w:ind w:left="426" w:hanging="426"/>
        <w:jc w:val="both"/>
        <w:rPr>
          <w:rFonts w:ascii="Arial" w:hAnsi="Arial" w:cs="Arial"/>
          <w:sz w:val="24"/>
          <w:szCs w:val="24"/>
        </w:rPr>
      </w:pPr>
      <w:r w:rsidRPr="00706409">
        <w:rPr>
          <w:rFonts w:ascii="Arial" w:hAnsi="Arial" w:cs="Arial"/>
          <w:sz w:val="24"/>
          <w:szCs w:val="24"/>
        </w:rPr>
        <w:t xml:space="preserve">  </w:t>
      </w:r>
    </w:p>
    <w:p w:rsidR="00706409" w:rsidRPr="00706409" w:rsidRDefault="00F641D9" w:rsidP="00706409">
      <w:pPr>
        <w:spacing w:after="0" w:line="240" w:lineRule="auto"/>
        <w:rPr>
          <w:rFonts w:ascii="Arial" w:hAnsi="Arial" w:cs="Arial"/>
          <w:b/>
          <w:sz w:val="24"/>
          <w:szCs w:val="24"/>
          <w:u w:val="single"/>
        </w:rPr>
      </w:pPr>
    </w:p>
    <w:p w:rsidR="00706409" w:rsidRPr="00706409" w:rsidRDefault="00D205EF" w:rsidP="00706409">
      <w:pPr>
        <w:spacing w:after="0" w:line="240" w:lineRule="auto"/>
        <w:jc w:val="both"/>
        <w:rPr>
          <w:rFonts w:ascii="Arial" w:hAnsi="Arial" w:cs="Arial"/>
          <w:sz w:val="24"/>
          <w:szCs w:val="24"/>
        </w:rPr>
      </w:pPr>
      <w:r w:rsidRPr="00706409">
        <w:rPr>
          <w:rFonts w:ascii="Arial" w:hAnsi="Arial" w:cs="Arial"/>
          <w:b/>
          <w:sz w:val="24"/>
          <w:szCs w:val="24"/>
          <w:u w:val="single"/>
        </w:rPr>
        <w:t xml:space="preserve">Table 1 Preston &amp; South </w:t>
      </w:r>
      <w:proofErr w:type="spellStart"/>
      <w:r w:rsidRPr="00706409">
        <w:rPr>
          <w:rFonts w:ascii="Arial" w:hAnsi="Arial" w:cs="Arial"/>
          <w:b/>
          <w:sz w:val="24"/>
          <w:szCs w:val="24"/>
          <w:u w:val="single"/>
        </w:rPr>
        <w:t>Ribble</w:t>
      </w:r>
      <w:proofErr w:type="spellEnd"/>
      <w:r w:rsidRPr="00706409">
        <w:rPr>
          <w:rFonts w:ascii="Arial" w:hAnsi="Arial" w:cs="Arial"/>
          <w:b/>
          <w:sz w:val="24"/>
          <w:szCs w:val="24"/>
          <w:u w:val="single"/>
        </w:rPr>
        <w:t xml:space="preserve"> Housing – core and supporting outputs </w:t>
      </w:r>
    </w:p>
    <w:p w:rsidR="00706409" w:rsidRPr="00706409" w:rsidRDefault="00F641D9" w:rsidP="00706409">
      <w:pPr>
        <w:spacing w:after="0" w:line="240" w:lineRule="auto"/>
        <w:ind w:left="284"/>
        <w:jc w:val="both"/>
        <w:rPr>
          <w:rFonts w:ascii="Arial" w:hAnsi="Arial" w:cs="Arial"/>
          <w:b/>
          <w:sz w:val="24"/>
          <w:szCs w:val="24"/>
          <w:u w:val="single"/>
        </w:rPr>
      </w:pPr>
    </w:p>
    <w:tbl>
      <w:tblPr>
        <w:tblStyle w:val="TableGrid1"/>
        <w:tblW w:w="5000" w:type="pct"/>
        <w:tblLayout w:type="fixed"/>
        <w:tblLook w:val="04A0" w:firstRow="1" w:lastRow="0" w:firstColumn="1" w:lastColumn="0" w:noHBand="0" w:noVBand="1"/>
      </w:tblPr>
      <w:tblGrid>
        <w:gridCol w:w="3681"/>
        <w:gridCol w:w="1843"/>
        <w:gridCol w:w="1701"/>
        <w:gridCol w:w="1791"/>
      </w:tblGrid>
      <w:tr w:rsidR="00DB20DF" w:rsidTr="00D30CB8">
        <w:tc>
          <w:tcPr>
            <w:tcW w:w="3681" w:type="dxa"/>
          </w:tcPr>
          <w:p w:rsidR="00706409" w:rsidRPr="00706409" w:rsidRDefault="00D205EF" w:rsidP="00706409">
            <w:pPr>
              <w:jc w:val="both"/>
              <w:rPr>
                <w:rFonts w:ascii="Arial" w:hAnsi="Arial" w:cs="Arial"/>
                <w:b/>
                <w:sz w:val="24"/>
                <w:szCs w:val="24"/>
              </w:rPr>
            </w:pPr>
            <w:r w:rsidRPr="00706409">
              <w:rPr>
                <w:rFonts w:ascii="Arial" w:hAnsi="Arial" w:cs="Arial"/>
                <w:b/>
                <w:sz w:val="24"/>
                <w:szCs w:val="24"/>
              </w:rPr>
              <w:t>Core and supporting outputs</w:t>
            </w:r>
          </w:p>
        </w:tc>
        <w:tc>
          <w:tcPr>
            <w:tcW w:w="1843" w:type="dxa"/>
          </w:tcPr>
          <w:p w:rsidR="00706409" w:rsidRPr="00706409" w:rsidRDefault="00D205EF" w:rsidP="00706409">
            <w:pPr>
              <w:jc w:val="both"/>
              <w:rPr>
                <w:rFonts w:ascii="Arial" w:hAnsi="Arial" w:cs="Arial"/>
                <w:b/>
                <w:sz w:val="24"/>
                <w:szCs w:val="24"/>
              </w:rPr>
            </w:pPr>
            <w:r w:rsidRPr="00706409">
              <w:rPr>
                <w:rFonts w:ascii="Arial" w:hAnsi="Arial" w:cs="Arial"/>
                <w:b/>
                <w:sz w:val="24"/>
                <w:szCs w:val="24"/>
              </w:rPr>
              <w:t>Target (2018/19)</w:t>
            </w:r>
          </w:p>
          <w:p w:rsidR="00706409" w:rsidRPr="00706409" w:rsidRDefault="00F641D9" w:rsidP="00706409">
            <w:pPr>
              <w:jc w:val="both"/>
              <w:rPr>
                <w:rFonts w:ascii="Arial" w:hAnsi="Arial" w:cs="Arial"/>
                <w:b/>
                <w:sz w:val="24"/>
                <w:szCs w:val="24"/>
              </w:rPr>
            </w:pPr>
          </w:p>
        </w:tc>
        <w:tc>
          <w:tcPr>
            <w:tcW w:w="1701" w:type="dxa"/>
          </w:tcPr>
          <w:p w:rsidR="00706409" w:rsidRPr="00706409" w:rsidRDefault="00D205EF" w:rsidP="00706409">
            <w:pPr>
              <w:jc w:val="both"/>
              <w:rPr>
                <w:rFonts w:ascii="Arial" w:hAnsi="Arial" w:cs="Arial"/>
                <w:b/>
                <w:sz w:val="24"/>
                <w:szCs w:val="24"/>
              </w:rPr>
            </w:pPr>
            <w:r w:rsidRPr="00706409">
              <w:rPr>
                <w:rFonts w:ascii="Arial" w:hAnsi="Arial" w:cs="Arial"/>
                <w:b/>
                <w:sz w:val="24"/>
                <w:szCs w:val="24"/>
              </w:rPr>
              <w:t>Actual (2018/19)</w:t>
            </w:r>
          </w:p>
          <w:p w:rsidR="00706409" w:rsidRPr="00706409" w:rsidRDefault="00F641D9" w:rsidP="00706409">
            <w:pPr>
              <w:jc w:val="both"/>
              <w:rPr>
                <w:rFonts w:ascii="Arial" w:hAnsi="Arial" w:cs="Arial"/>
                <w:b/>
                <w:sz w:val="24"/>
                <w:szCs w:val="24"/>
              </w:rPr>
            </w:pPr>
          </w:p>
        </w:tc>
        <w:tc>
          <w:tcPr>
            <w:tcW w:w="1791" w:type="dxa"/>
          </w:tcPr>
          <w:p w:rsidR="00706409" w:rsidRPr="00706409" w:rsidRDefault="00D205EF" w:rsidP="00706409">
            <w:pPr>
              <w:jc w:val="both"/>
              <w:rPr>
                <w:rFonts w:ascii="Arial" w:hAnsi="Arial" w:cs="Arial"/>
                <w:b/>
                <w:sz w:val="24"/>
                <w:szCs w:val="24"/>
              </w:rPr>
            </w:pPr>
            <w:r w:rsidRPr="00706409">
              <w:rPr>
                <w:rFonts w:ascii="Arial" w:hAnsi="Arial" w:cs="Arial"/>
                <w:b/>
                <w:sz w:val="24"/>
                <w:szCs w:val="24"/>
              </w:rPr>
              <w:t>Total to date</w:t>
            </w:r>
          </w:p>
          <w:p w:rsidR="00706409" w:rsidRPr="00706409" w:rsidRDefault="00F641D9" w:rsidP="00706409">
            <w:pPr>
              <w:jc w:val="both"/>
              <w:rPr>
                <w:rFonts w:ascii="Arial" w:hAnsi="Arial" w:cs="Arial"/>
                <w:b/>
                <w:sz w:val="24"/>
                <w:szCs w:val="24"/>
              </w:rPr>
            </w:pPr>
          </w:p>
          <w:p w:rsidR="00706409" w:rsidRPr="00706409" w:rsidRDefault="00F641D9" w:rsidP="00706409">
            <w:pPr>
              <w:jc w:val="both"/>
              <w:rPr>
                <w:rFonts w:ascii="Arial" w:hAnsi="Arial" w:cs="Arial"/>
                <w:b/>
                <w:sz w:val="24"/>
                <w:szCs w:val="24"/>
              </w:rPr>
            </w:pPr>
          </w:p>
        </w:tc>
      </w:tr>
      <w:tr w:rsidR="00DB20DF" w:rsidTr="00D30CB8">
        <w:tc>
          <w:tcPr>
            <w:tcW w:w="3681"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 xml:space="preserve">Total number of Housing units completed </w:t>
            </w:r>
          </w:p>
          <w:p w:rsidR="00706409" w:rsidRPr="00706409" w:rsidRDefault="00F641D9" w:rsidP="00706409">
            <w:pPr>
              <w:jc w:val="both"/>
              <w:rPr>
                <w:rFonts w:ascii="Arial" w:hAnsi="Arial" w:cs="Arial"/>
                <w:sz w:val="24"/>
                <w:szCs w:val="24"/>
              </w:rPr>
            </w:pPr>
          </w:p>
        </w:tc>
        <w:tc>
          <w:tcPr>
            <w:tcW w:w="1843"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1,130</w:t>
            </w:r>
          </w:p>
        </w:tc>
        <w:tc>
          <w:tcPr>
            <w:tcW w:w="1701" w:type="dxa"/>
          </w:tcPr>
          <w:p w:rsidR="00706409" w:rsidRPr="00706409" w:rsidRDefault="00D205EF" w:rsidP="00706409">
            <w:pPr>
              <w:tabs>
                <w:tab w:val="left" w:pos="885"/>
              </w:tabs>
              <w:jc w:val="both"/>
              <w:rPr>
                <w:rFonts w:ascii="Arial" w:hAnsi="Arial" w:cs="Arial"/>
                <w:i/>
                <w:sz w:val="16"/>
                <w:szCs w:val="16"/>
              </w:rPr>
            </w:pPr>
            <w:r w:rsidRPr="00706409">
              <w:rPr>
                <w:rFonts w:ascii="Arial" w:hAnsi="Arial" w:cs="Arial"/>
                <w:sz w:val="24"/>
                <w:szCs w:val="24"/>
              </w:rPr>
              <w:t xml:space="preserve">1,289 </w:t>
            </w:r>
            <w:r w:rsidRPr="00706409">
              <w:rPr>
                <w:rFonts w:ascii="Arial" w:hAnsi="Arial" w:cs="Arial"/>
                <w:i/>
                <w:sz w:val="16"/>
                <w:szCs w:val="16"/>
              </w:rPr>
              <w:t>(928 on named sites and 361 on addition)</w:t>
            </w:r>
          </w:p>
          <w:p w:rsidR="00706409" w:rsidRPr="00706409" w:rsidRDefault="00F641D9" w:rsidP="00706409">
            <w:pPr>
              <w:tabs>
                <w:tab w:val="left" w:pos="885"/>
              </w:tabs>
              <w:jc w:val="both"/>
              <w:rPr>
                <w:rFonts w:ascii="Arial" w:hAnsi="Arial" w:cs="Arial"/>
                <w:sz w:val="24"/>
                <w:szCs w:val="24"/>
              </w:rPr>
            </w:pPr>
          </w:p>
          <w:p w:rsidR="00706409" w:rsidRPr="00706409" w:rsidRDefault="00F641D9" w:rsidP="00706409">
            <w:pPr>
              <w:tabs>
                <w:tab w:val="left" w:pos="885"/>
              </w:tabs>
              <w:jc w:val="both"/>
              <w:rPr>
                <w:rFonts w:ascii="Arial" w:hAnsi="Arial" w:cs="Arial"/>
                <w:sz w:val="24"/>
                <w:szCs w:val="24"/>
              </w:rPr>
            </w:pPr>
          </w:p>
        </w:tc>
        <w:tc>
          <w:tcPr>
            <w:tcW w:w="1791"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 xml:space="preserve">4,991 </w:t>
            </w:r>
            <w:r w:rsidRPr="00706409">
              <w:rPr>
                <w:rFonts w:ascii="Arial" w:hAnsi="Arial" w:cs="Arial"/>
                <w:i/>
                <w:sz w:val="16"/>
                <w:szCs w:val="16"/>
              </w:rPr>
              <w:t>(</w:t>
            </w:r>
            <w:proofErr w:type="spellStart"/>
            <w:r w:rsidRPr="00706409">
              <w:rPr>
                <w:rFonts w:ascii="Arial" w:hAnsi="Arial" w:cs="Arial"/>
                <w:i/>
                <w:sz w:val="16"/>
                <w:szCs w:val="16"/>
              </w:rPr>
              <w:t>inc</w:t>
            </w:r>
            <w:proofErr w:type="spellEnd"/>
            <w:r w:rsidRPr="00706409">
              <w:rPr>
                <w:rFonts w:ascii="Arial" w:hAnsi="Arial" w:cs="Arial"/>
                <w:i/>
                <w:sz w:val="16"/>
                <w:szCs w:val="16"/>
              </w:rPr>
              <w:t xml:space="preserve"> 346 re-use of  empty homes)</w:t>
            </w:r>
          </w:p>
        </w:tc>
      </w:tr>
      <w:tr w:rsidR="00DB20DF" w:rsidTr="00D30CB8">
        <w:tc>
          <w:tcPr>
            <w:tcW w:w="3681"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Total number of housing units submitted for planning *</w:t>
            </w:r>
          </w:p>
        </w:tc>
        <w:tc>
          <w:tcPr>
            <w:tcW w:w="1843"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w:t>
            </w:r>
          </w:p>
        </w:tc>
        <w:tc>
          <w:tcPr>
            <w:tcW w:w="1701"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3,644</w:t>
            </w:r>
          </w:p>
        </w:tc>
        <w:tc>
          <w:tcPr>
            <w:tcW w:w="1791"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16,654</w:t>
            </w:r>
          </w:p>
        </w:tc>
      </w:tr>
      <w:tr w:rsidR="00DB20DF" w:rsidTr="00D30CB8">
        <w:tc>
          <w:tcPr>
            <w:tcW w:w="3681"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Total number of Housing units consented for planning *</w:t>
            </w:r>
          </w:p>
        </w:tc>
        <w:tc>
          <w:tcPr>
            <w:tcW w:w="1843"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w:t>
            </w:r>
          </w:p>
        </w:tc>
        <w:tc>
          <w:tcPr>
            <w:tcW w:w="1701"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3,008</w:t>
            </w:r>
          </w:p>
        </w:tc>
        <w:tc>
          <w:tcPr>
            <w:tcW w:w="1791"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15,537</w:t>
            </w:r>
          </w:p>
        </w:tc>
      </w:tr>
      <w:tr w:rsidR="00DB20DF" w:rsidTr="00D30CB8">
        <w:tc>
          <w:tcPr>
            <w:tcW w:w="3681"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Sites at which construction is actively taking place</w:t>
            </w:r>
          </w:p>
        </w:tc>
        <w:tc>
          <w:tcPr>
            <w:tcW w:w="1843"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w:t>
            </w:r>
          </w:p>
          <w:p w:rsidR="00706409" w:rsidRPr="00706409" w:rsidRDefault="00F641D9" w:rsidP="00706409">
            <w:pPr>
              <w:tabs>
                <w:tab w:val="left" w:pos="885"/>
              </w:tabs>
              <w:jc w:val="both"/>
              <w:rPr>
                <w:rFonts w:ascii="Arial" w:hAnsi="Arial" w:cs="Arial"/>
                <w:sz w:val="24"/>
                <w:szCs w:val="24"/>
              </w:rPr>
            </w:pPr>
          </w:p>
        </w:tc>
        <w:tc>
          <w:tcPr>
            <w:tcW w:w="1701"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36</w:t>
            </w:r>
          </w:p>
        </w:tc>
        <w:tc>
          <w:tcPr>
            <w:tcW w:w="1791" w:type="dxa"/>
          </w:tcPr>
          <w:p w:rsidR="00706409" w:rsidRPr="00706409" w:rsidRDefault="00F641D9" w:rsidP="00706409">
            <w:pPr>
              <w:tabs>
                <w:tab w:val="left" w:pos="885"/>
              </w:tabs>
              <w:jc w:val="both"/>
              <w:rPr>
                <w:rFonts w:ascii="Arial" w:hAnsi="Arial" w:cs="Arial"/>
                <w:sz w:val="24"/>
                <w:szCs w:val="24"/>
              </w:rPr>
            </w:pPr>
          </w:p>
        </w:tc>
      </w:tr>
    </w:tbl>
    <w:p w:rsidR="00706409" w:rsidRDefault="00F641D9" w:rsidP="00706409">
      <w:pPr>
        <w:spacing w:after="0" w:line="240" w:lineRule="auto"/>
        <w:jc w:val="both"/>
        <w:rPr>
          <w:rFonts w:ascii="Arial" w:hAnsi="Arial" w:cs="Arial"/>
          <w:b/>
          <w:sz w:val="24"/>
          <w:szCs w:val="24"/>
          <w:u w:val="single"/>
        </w:rPr>
      </w:pPr>
    </w:p>
    <w:p w:rsidR="00612BC9" w:rsidRDefault="00612BC9" w:rsidP="00706409">
      <w:pPr>
        <w:spacing w:after="0" w:line="240" w:lineRule="auto"/>
        <w:jc w:val="both"/>
        <w:rPr>
          <w:rFonts w:ascii="Arial" w:hAnsi="Arial" w:cs="Arial"/>
          <w:b/>
          <w:sz w:val="24"/>
          <w:szCs w:val="24"/>
          <w:u w:val="single"/>
        </w:rPr>
      </w:pPr>
    </w:p>
    <w:p w:rsidR="00612BC9" w:rsidRDefault="00612BC9" w:rsidP="00706409">
      <w:pPr>
        <w:spacing w:after="0" w:line="240" w:lineRule="auto"/>
        <w:jc w:val="both"/>
        <w:rPr>
          <w:rFonts w:ascii="Arial" w:hAnsi="Arial" w:cs="Arial"/>
          <w:b/>
          <w:sz w:val="24"/>
          <w:szCs w:val="24"/>
          <w:u w:val="single"/>
        </w:rPr>
      </w:pPr>
    </w:p>
    <w:p w:rsidR="00612BC9" w:rsidRDefault="00612BC9" w:rsidP="00706409">
      <w:pPr>
        <w:spacing w:after="0" w:line="240" w:lineRule="auto"/>
        <w:jc w:val="both"/>
        <w:rPr>
          <w:rFonts w:ascii="Arial" w:hAnsi="Arial" w:cs="Arial"/>
          <w:b/>
          <w:sz w:val="24"/>
          <w:szCs w:val="24"/>
          <w:u w:val="single"/>
        </w:rPr>
      </w:pPr>
    </w:p>
    <w:p w:rsidR="00612BC9" w:rsidRDefault="00612BC9" w:rsidP="00706409">
      <w:pPr>
        <w:spacing w:after="0" w:line="240" w:lineRule="auto"/>
        <w:jc w:val="both"/>
        <w:rPr>
          <w:rFonts w:ascii="Arial" w:hAnsi="Arial" w:cs="Arial"/>
          <w:b/>
          <w:sz w:val="24"/>
          <w:szCs w:val="24"/>
          <w:u w:val="single"/>
        </w:rPr>
      </w:pPr>
    </w:p>
    <w:p w:rsidR="00612BC9" w:rsidRDefault="00612BC9" w:rsidP="00706409">
      <w:pPr>
        <w:spacing w:after="0" w:line="240" w:lineRule="auto"/>
        <w:jc w:val="both"/>
        <w:rPr>
          <w:rFonts w:ascii="Arial" w:hAnsi="Arial" w:cs="Arial"/>
          <w:b/>
          <w:sz w:val="24"/>
          <w:szCs w:val="24"/>
          <w:u w:val="single"/>
        </w:rPr>
      </w:pPr>
    </w:p>
    <w:p w:rsidR="00612BC9" w:rsidRDefault="00612BC9" w:rsidP="00706409">
      <w:pPr>
        <w:spacing w:after="0" w:line="240" w:lineRule="auto"/>
        <w:jc w:val="both"/>
        <w:rPr>
          <w:rFonts w:ascii="Arial" w:hAnsi="Arial" w:cs="Arial"/>
          <w:b/>
          <w:sz w:val="24"/>
          <w:szCs w:val="24"/>
          <w:u w:val="single"/>
        </w:rPr>
      </w:pPr>
    </w:p>
    <w:p w:rsidR="00612BC9" w:rsidRPr="00706409" w:rsidRDefault="00612BC9" w:rsidP="00706409">
      <w:pPr>
        <w:spacing w:after="0" w:line="240" w:lineRule="auto"/>
        <w:jc w:val="both"/>
        <w:rPr>
          <w:rFonts w:ascii="Arial" w:hAnsi="Arial" w:cs="Arial"/>
          <w:b/>
          <w:sz w:val="24"/>
          <w:szCs w:val="24"/>
          <w:u w:val="single"/>
        </w:rPr>
      </w:pPr>
    </w:p>
    <w:p w:rsidR="00706409" w:rsidRPr="00706409" w:rsidRDefault="00D205EF" w:rsidP="00706409">
      <w:pPr>
        <w:spacing w:after="0" w:line="240" w:lineRule="auto"/>
        <w:jc w:val="both"/>
        <w:rPr>
          <w:rFonts w:ascii="Arial" w:hAnsi="Arial" w:cs="Arial"/>
          <w:b/>
          <w:sz w:val="24"/>
          <w:szCs w:val="24"/>
          <w:u w:val="single"/>
        </w:rPr>
      </w:pPr>
      <w:r w:rsidRPr="00706409">
        <w:rPr>
          <w:rFonts w:ascii="Arial" w:hAnsi="Arial" w:cs="Arial"/>
          <w:b/>
          <w:sz w:val="24"/>
          <w:szCs w:val="24"/>
          <w:u w:val="single"/>
        </w:rPr>
        <w:t>Table 2 Preston Housing – core and supporting outputs</w:t>
      </w:r>
    </w:p>
    <w:p w:rsidR="00706409" w:rsidRPr="00706409" w:rsidRDefault="00F641D9" w:rsidP="00706409">
      <w:pPr>
        <w:spacing w:after="0" w:line="240" w:lineRule="auto"/>
        <w:jc w:val="both"/>
        <w:rPr>
          <w:rFonts w:ascii="Arial" w:hAnsi="Arial" w:cs="Arial"/>
          <w:b/>
          <w:sz w:val="24"/>
          <w:szCs w:val="24"/>
          <w:u w:val="single"/>
        </w:rPr>
      </w:pPr>
    </w:p>
    <w:tbl>
      <w:tblPr>
        <w:tblStyle w:val="TableGrid1"/>
        <w:tblW w:w="5000" w:type="pct"/>
        <w:tblLayout w:type="fixed"/>
        <w:tblLook w:val="04A0" w:firstRow="1" w:lastRow="0" w:firstColumn="1" w:lastColumn="0" w:noHBand="0" w:noVBand="1"/>
      </w:tblPr>
      <w:tblGrid>
        <w:gridCol w:w="3681"/>
        <w:gridCol w:w="1843"/>
        <w:gridCol w:w="1701"/>
        <w:gridCol w:w="1791"/>
      </w:tblGrid>
      <w:tr w:rsidR="00DB20DF" w:rsidTr="00D30CB8">
        <w:tc>
          <w:tcPr>
            <w:tcW w:w="3681" w:type="dxa"/>
          </w:tcPr>
          <w:p w:rsidR="00706409" w:rsidRPr="00706409" w:rsidRDefault="00D205EF" w:rsidP="00706409">
            <w:pPr>
              <w:jc w:val="both"/>
              <w:rPr>
                <w:rFonts w:ascii="Arial" w:hAnsi="Arial" w:cs="Arial"/>
                <w:b/>
                <w:sz w:val="24"/>
                <w:szCs w:val="24"/>
              </w:rPr>
            </w:pPr>
            <w:r w:rsidRPr="00706409">
              <w:rPr>
                <w:rFonts w:ascii="Arial" w:hAnsi="Arial" w:cs="Arial"/>
                <w:b/>
                <w:sz w:val="24"/>
                <w:szCs w:val="24"/>
              </w:rPr>
              <w:t>Core and supporting outputs</w:t>
            </w:r>
          </w:p>
        </w:tc>
        <w:tc>
          <w:tcPr>
            <w:tcW w:w="1843" w:type="dxa"/>
          </w:tcPr>
          <w:p w:rsidR="00706409" w:rsidRPr="00706409" w:rsidRDefault="00D205EF" w:rsidP="00706409">
            <w:pPr>
              <w:jc w:val="both"/>
              <w:rPr>
                <w:rFonts w:ascii="Arial" w:hAnsi="Arial" w:cs="Arial"/>
                <w:b/>
                <w:sz w:val="24"/>
                <w:szCs w:val="24"/>
              </w:rPr>
            </w:pPr>
            <w:r w:rsidRPr="00706409">
              <w:rPr>
                <w:rFonts w:ascii="Arial" w:hAnsi="Arial" w:cs="Arial"/>
                <w:b/>
                <w:sz w:val="24"/>
                <w:szCs w:val="24"/>
              </w:rPr>
              <w:t>Target (2018/19)</w:t>
            </w:r>
          </w:p>
          <w:p w:rsidR="00706409" w:rsidRPr="00706409" w:rsidRDefault="00F641D9" w:rsidP="00706409">
            <w:pPr>
              <w:jc w:val="both"/>
              <w:rPr>
                <w:rFonts w:ascii="Arial" w:hAnsi="Arial" w:cs="Arial"/>
                <w:b/>
                <w:sz w:val="24"/>
                <w:szCs w:val="24"/>
              </w:rPr>
            </w:pPr>
          </w:p>
        </w:tc>
        <w:tc>
          <w:tcPr>
            <w:tcW w:w="1701" w:type="dxa"/>
          </w:tcPr>
          <w:p w:rsidR="00706409" w:rsidRPr="00706409" w:rsidRDefault="00D205EF" w:rsidP="00706409">
            <w:pPr>
              <w:jc w:val="both"/>
              <w:rPr>
                <w:rFonts w:ascii="Arial" w:hAnsi="Arial" w:cs="Arial"/>
                <w:b/>
                <w:sz w:val="24"/>
                <w:szCs w:val="24"/>
              </w:rPr>
            </w:pPr>
            <w:r w:rsidRPr="00706409">
              <w:rPr>
                <w:rFonts w:ascii="Arial" w:hAnsi="Arial" w:cs="Arial"/>
                <w:b/>
                <w:sz w:val="24"/>
                <w:szCs w:val="24"/>
              </w:rPr>
              <w:t>Actual (2018/19)</w:t>
            </w:r>
          </w:p>
          <w:p w:rsidR="00706409" w:rsidRPr="00706409" w:rsidRDefault="00F641D9" w:rsidP="00706409">
            <w:pPr>
              <w:jc w:val="both"/>
              <w:rPr>
                <w:rFonts w:ascii="Arial" w:hAnsi="Arial" w:cs="Arial"/>
                <w:b/>
                <w:sz w:val="24"/>
                <w:szCs w:val="24"/>
              </w:rPr>
            </w:pPr>
          </w:p>
        </w:tc>
        <w:tc>
          <w:tcPr>
            <w:tcW w:w="1791" w:type="dxa"/>
          </w:tcPr>
          <w:p w:rsidR="00706409" w:rsidRPr="00706409" w:rsidRDefault="00D205EF" w:rsidP="00706409">
            <w:pPr>
              <w:jc w:val="both"/>
              <w:rPr>
                <w:rFonts w:ascii="Arial" w:hAnsi="Arial" w:cs="Arial"/>
                <w:b/>
                <w:sz w:val="24"/>
                <w:szCs w:val="24"/>
              </w:rPr>
            </w:pPr>
            <w:r w:rsidRPr="00706409">
              <w:rPr>
                <w:rFonts w:ascii="Arial" w:hAnsi="Arial" w:cs="Arial"/>
                <w:b/>
                <w:sz w:val="24"/>
                <w:szCs w:val="24"/>
              </w:rPr>
              <w:t>Total to date</w:t>
            </w:r>
          </w:p>
          <w:p w:rsidR="00706409" w:rsidRPr="00706409" w:rsidRDefault="00F641D9" w:rsidP="00706409">
            <w:pPr>
              <w:jc w:val="both"/>
              <w:rPr>
                <w:rFonts w:ascii="Arial" w:hAnsi="Arial" w:cs="Arial"/>
                <w:b/>
                <w:sz w:val="24"/>
                <w:szCs w:val="24"/>
              </w:rPr>
            </w:pPr>
          </w:p>
          <w:p w:rsidR="00706409" w:rsidRPr="00706409" w:rsidRDefault="00F641D9" w:rsidP="00706409">
            <w:pPr>
              <w:jc w:val="both"/>
              <w:rPr>
                <w:rFonts w:ascii="Arial" w:hAnsi="Arial" w:cs="Arial"/>
                <w:b/>
                <w:sz w:val="24"/>
                <w:szCs w:val="24"/>
              </w:rPr>
            </w:pPr>
          </w:p>
        </w:tc>
      </w:tr>
      <w:tr w:rsidR="00DB20DF" w:rsidTr="00D30CB8">
        <w:tc>
          <w:tcPr>
            <w:tcW w:w="3681"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 xml:space="preserve">Total number of Housing units completed </w:t>
            </w:r>
          </w:p>
          <w:p w:rsidR="00706409" w:rsidRPr="00706409" w:rsidRDefault="00F641D9" w:rsidP="00706409">
            <w:pPr>
              <w:jc w:val="both"/>
              <w:rPr>
                <w:rFonts w:ascii="Arial" w:hAnsi="Arial" w:cs="Arial"/>
                <w:sz w:val="24"/>
                <w:szCs w:val="24"/>
              </w:rPr>
            </w:pPr>
          </w:p>
        </w:tc>
        <w:tc>
          <w:tcPr>
            <w:tcW w:w="1843"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 xml:space="preserve">870 </w:t>
            </w:r>
            <w:r w:rsidRPr="00706409">
              <w:rPr>
                <w:rFonts w:ascii="Arial" w:hAnsi="Arial" w:cs="Arial"/>
                <w:i/>
                <w:sz w:val="16"/>
                <w:szCs w:val="16"/>
              </w:rPr>
              <w:t>(631 on named sites &amp; 239 on additional)</w:t>
            </w:r>
          </w:p>
        </w:tc>
        <w:tc>
          <w:tcPr>
            <w:tcW w:w="1701"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798</w:t>
            </w:r>
          </w:p>
          <w:p w:rsidR="00706409" w:rsidRPr="00706409" w:rsidRDefault="00D205EF" w:rsidP="00706409">
            <w:pPr>
              <w:tabs>
                <w:tab w:val="left" w:pos="885"/>
              </w:tabs>
              <w:jc w:val="both"/>
              <w:rPr>
                <w:rFonts w:ascii="Arial" w:hAnsi="Arial" w:cs="Arial"/>
                <w:i/>
                <w:sz w:val="16"/>
                <w:szCs w:val="16"/>
              </w:rPr>
            </w:pPr>
            <w:r w:rsidRPr="00706409">
              <w:rPr>
                <w:rFonts w:ascii="Arial" w:hAnsi="Arial" w:cs="Arial"/>
                <w:i/>
                <w:sz w:val="16"/>
                <w:szCs w:val="16"/>
              </w:rPr>
              <w:t xml:space="preserve">(599 on named sites &amp; 199 on additional) </w:t>
            </w:r>
          </w:p>
          <w:p w:rsidR="00706409" w:rsidRPr="00706409" w:rsidRDefault="00F641D9" w:rsidP="00706409">
            <w:pPr>
              <w:tabs>
                <w:tab w:val="left" w:pos="885"/>
              </w:tabs>
              <w:jc w:val="both"/>
              <w:rPr>
                <w:rFonts w:ascii="Arial" w:hAnsi="Arial" w:cs="Arial"/>
                <w:sz w:val="24"/>
                <w:szCs w:val="24"/>
              </w:rPr>
            </w:pPr>
          </w:p>
        </w:tc>
        <w:tc>
          <w:tcPr>
            <w:tcW w:w="1791"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3,306</w:t>
            </w:r>
          </w:p>
        </w:tc>
      </w:tr>
      <w:tr w:rsidR="00DB20DF" w:rsidTr="00D30CB8">
        <w:tc>
          <w:tcPr>
            <w:tcW w:w="3681"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 xml:space="preserve">Total number of housing units submitted for planning * </w:t>
            </w:r>
          </w:p>
        </w:tc>
        <w:tc>
          <w:tcPr>
            <w:tcW w:w="1843"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w:t>
            </w:r>
          </w:p>
        </w:tc>
        <w:tc>
          <w:tcPr>
            <w:tcW w:w="1701"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 xml:space="preserve">3,165 </w:t>
            </w:r>
            <w:r w:rsidRPr="00706409">
              <w:rPr>
                <w:rFonts w:ascii="Arial" w:hAnsi="Arial" w:cs="Arial"/>
                <w:i/>
                <w:sz w:val="16"/>
                <w:szCs w:val="16"/>
              </w:rPr>
              <w:t>(1,103 on named sites &amp; 2,062 on additional)</w:t>
            </w:r>
            <w:r w:rsidRPr="00706409">
              <w:rPr>
                <w:rFonts w:ascii="Arial" w:hAnsi="Arial" w:cs="Arial"/>
                <w:sz w:val="24"/>
                <w:szCs w:val="24"/>
              </w:rPr>
              <w:t xml:space="preserve"> </w:t>
            </w:r>
          </w:p>
        </w:tc>
        <w:tc>
          <w:tcPr>
            <w:tcW w:w="1791"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w:t>
            </w:r>
          </w:p>
        </w:tc>
      </w:tr>
      <w:tr w:rsidR="00DB20DF" w:rsidTr="00D30CB8">
        <w:tc>
          <w:tcPr>
            <w:tcW w:w="3681"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Total number of Housing units consented for planning *</w:t>
            </w:r>
          </w:p>
        </w:tc>
        <w:tc>
          <w:tcPr>
            <w:tcW w:w="1843"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w:t>
            </w:r>
          </w:p>
        </w:tc>
        <w:tc>
          <w:tcPr>
            <w:tcW w:w="1701"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 xml:space="preserve">2,304 </w:t>
            </w:r>
            <w:r w:rsidRPr="00706409">
              <w:rPr>
                <w:rFonts w:ascii="Arial" w:hAnsi="Arial" w:cs="Arial"/>
                <w:i/>
                <w:sz w:val="16"/>
                <w:szCs w:val="16"/>
              </w:rPr>
              <w:t>(614 on named sites &amp; 1,690 on additional)</w:t>
            </w:r>
            <w:r w:rsidRPr="00706409">
              <w:rPr>
                <w:rFonts w:ascii="Arial" w:hAnsi="Arial" w:cs="Arial"/>
                <w:sz w:val="24"/>
                <w:szCs w:val="24"/>
              </w:rPr>
              <w:t xml:space="preserve"> </w:t>
            </w:r>
          </w:p>
        </w:tc>
        <w:tc>
          <w:tcPr>
            <w:tcW w:w="1791"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w:t>
            </w:r>
          </w:p>
        </w:tc>
      </w:tr>
      <w:tr w:rsidR="00DB20DF" w:rsidTr="00D30CB8">
        <w:tc>
          <w:tcPr>
            <w:tcW w:w="3681"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Sites at which construction is actively taking place</w:t>
            </w:r>
          </w:p>
        </w:tc>
        <w:tc>
          <w:tcPr>
            <w:tcW w:w="1843"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w:t>
            </w:r>
          </w:p>
          <w:p w:rsidR="00706409" w:rsidRPr="00706409" w:rsidRDefault="00F641D9" w:rsidP="00706409">
            <w:pPr>
              <w:tabs>
                <w:tab w:val="left" w:pos="885"/>
              </w:tabs>
              <w:jc w:val="both"/>
              <w:rPr>
                <w:rFonts w:ascii="Arial" w:hAnsi="Arial" w:cs="Arial"/>
                <w:sz w:val="24"/>
                <w:szCs w:val="24"/>
              </w:rPr>
            </w:pPr>
          </w:p>
        </w:tc>
        <w:tc>
          <w:tcPr>
            <w:tcW w:w="1701"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22</w:t>
            </w:r>
          </w:p>
        </w:tc>
        <w:tc>
          <w:tcPr>
            <w:tcW w:w="1791" w:type="dxa"/>
          </w:tcPr>
          <w:p w:rsidR="00706409" w:rsidRPr="00706409" w:rsidRDefault="00F641D9" w:rsidP="00706409">
            <w:pPr>
              <w:tabs>
                <w:tab w:val="left" w:pos="885"/>
              </w:tabs>
              <w:jc w:val="both"/>
              <w:rPr>
                <w:rFonts w:ascii="Arial" w:hAnsi="Arial" w:cs="Arial"/>
                <w:sz w:val="24"/>
                <w:szCs w:val="24"/>
              </w:rPr>
            </w:pPr>
          </w:p>
        </w:tc>
      </w:tr>
    </w:tbl>
    <w:p w:rsidR="00706409" w:rsidRPr="00706409" w:rsidRDefault="00F641D9" w:rsidP="00706409">
      <w:pPr>
        <w:spacing w:after="0" w:line="240" w:lineRule="auto"/>
        <w:jc w:val="both"/>
        <w:rPr>
          <w:rFonts w:ascii="Arial" w:hAnsi="Arial" w:cs="Arial"/>
          <w:sz w:val="24"/>
          <w:szCs w:val="24"/>
        </w:rPr>
      </w:pPr>
    </w:p>
    <w:p w:rsidR="00706409" w:rsidRPr="00706409" w:rsidRDefault="00D205EF" w:rsidP="00612BC9">
      <w:pPr>
        <w:spacing w:after="0" w:line="240" w:lineRule="auto"/>
        <w:rPr>
          <w:rFonts w:ascii="Arial" w:hAnsi="Arial" w:cs="Arial"/>
          <w:b/>
          <w:sz w:val="24"/>
          <w:szCs w:val="24"/>
          <w:u w:val="single"/>
        </w:rPr>
      </w:pPr>
      <w:r w:rsidRPr="00706409">
        <w:rPr>
          <w:rFonts w:ascii="Arial" w:hAnsi="Arial" w:cs="Arial"/>
          <w:b/>
          <w:sz w:val="24"/>
          <w:szCs w:val="24"/>
          <w:u w:val="single"/>
        </w:rPr>
        <w:t xml:space="preserve">Table 3 South </w:t>
      </w:r>
      <w:proofErr w:type="spellStart"/>
      <w:r w:rsidRPr="00706409">
        <w:rPr>
          <w:rFonts w:ascii="Arial" w:hAnsi="Arial" w:cs="Arial"/>
          <w:b/>
          <w:sz w:val="24"/>
          <w:szCs w:val="24"/>
          <w:u w:val="single"/>
        </w:rPr>
        <w:t>Ribble</w:t>
      </w:r>
      <w:proofErr w:type="spellEnd"/>
      <w:r w:rsidRPr="00706409">
        <w:rPr>
          <w:rFonts w:ascii="Arial" w:hAnsi="Arial" w:cs="Arial"/>
          <w:b/>
          <w:sz w:val="24"/>
          <w:szCs w:val="24"/>
          <w:u w:val="single"/>
        </w:rPr>
        <w:t xml:space="preserve"> Housing – core and supporting outputs</w:t>
      </w:r>
    </w:p>
    <w:p w:rsidR="00706409" w:rsidRPr="00706409" w:rsidRDefault="00F641D9" w:rsidP="00706409">
      <w:pPr>
        <w:spacing w:after="0" w:line="240" w:lineRule="auto"/>
        <w:jc w:val="both"/>
        <w:rPr>
          <w:rFonts w:ascii="Arial" w:hAnsi="Arial" w:cs="Arial"/>
          <w:b/>
          <w:sz w:val="24"/>
          <w:szCs w:val="24"/>
          <w:u w:val="single"/>
        </w:rPr>
      </w:pPr>
    </w:p>
    <w:tbl>
      <w:tblPr>
        <w:tblStyle w:val="TableGrid1"/>
        <w:tblW w:w="5000" w:type="pct"/>
        <w:tblLayout w:type="fixed"/>
        <w:tblLook w:val="04A0" w:firstRow="1" w:lastRow="0" w:firstColumn="1" w:lastColumn="0" w:noHBand="0" w:noVBand="1"/>
      </w:tblPr>
      <w:tblGrid>
        <w:gridCol w:w="3681"/>
        <w:gridCol w:w="1843"/>
        <w:gridCol w:w="1701"/>
        <w:gridCol w:w="1791"/>
      </w:tblGrid>
      <w:tr w:rsidR="00DB20DF" w:rsidTr="00D30CB8">
        <w:tc>
          <w:tcPr>
            <w:tcW w:w="3681" w:type="dxa"/>
          </w:tcPr>
          <w:p w:rsidR="00706409" w:rsidRPr="00706409" w:rsidRDefault="00D205EF" w:rsidP="00706409">
            <w:pPr>
              <w:jc w:val="both"/>
              <w:rPr>
                <w:rFonts w:ascii="Arial" w:hAnsi="Arial" w:cs="Arial"/>
                <w:b/>
                <w:sz w:val="24"/>
                <w:szCs w:val="24"/>
              </w:rPr>
            </w:pPr>
            <w:r w:rsidRPr="00706409">
              <w:rPr>
                <w:rFonts w:ascii="Arial" w:hAnsi="Arial" w:cs="Arial"/>
                <w:b/>
                <w:sz w:val="24"/>
                <w:szCs w:val="24"/>
              </w:rPr>
              <w:t>Core and supporting outputs</w:t>
            </w:r>
          </w:p>
        </w:tc>
        <w:tc>
          <w:tcPr>
            <w:tcW w:w="1843" w:type="dxa"/>
          </w:tcPr>
          <w:p w:rsidR="00706409" w:rsidRPr="00706409" w:rsidRDefault="00D205EF" w:rsidP="00706409">
            <w:pPr>
              <w:jc w:val="both"/>
              <w:rPr>
                <w:rFonts w:ascii="Arial" w:hAnsi="Arial" w:cs="Arial"/>
                <w:b/>
                <w:sz w:val="24"/>
                <w:szCs w:val="24"/>
              </w:rPr>
            </w:pPr>
            <w:r w:rsidRPr="00706409">
              <w:rPr>
                <w:rFonts w:ascii="Arial" w:hAnsi="Arial" w:cs="Arial"/>
                <w:b/>
                <w:sz w:val="24"/>
                <w:szCs w:val="24"/>
              </w:rPr>
              <w:t>Target (2018/19)</w:t>
            </w:r>
          </w:p>
          <w:p w:rsidR="00706409" w:rsidRPr="00706409" w:rsidRDefault="00F641D9" w:rsidP="00706409">
            <w:pPr>
              <w:jc w:val="both"/>
              <w:rPr>
                <w:rFonts w:ascii="Arial" w:hAnsi="Arial" w:cs="Arial"/>
                <w:b/>
                <w:sz w:val="24"/>
                <w:szCs w:val="24"/>
              </w:rPr>
            </w:pPr>
          </w:p>
        </w:tc>
        <w:tc>
          <w:tcPr>
            <w:tcW w:w="1701" w:type="dxa"/>
          </w:tcPr>
          <w:p w:rsidR="00706409" w:rsidRPr="00706409" w:rsidRDefault="00D205EF" w:rsidP="00706409">
            <w:pPr>
              <w:jc w:val="both"/>
              <w:rPr>
                <w:rFonts w:ascii="Arial" w:hAnsi="Arial" w:cs="Arial"/>
                <w:b/>
                <w:sz w:val="24"/>
                <w:szCs w:val="24"/>
              </w:rPr>
            </w:pPr>
            <w:r w:rsidRPr="00706409">
              <w:rPr>
                <w:rFonts w:ascii="Arial" w:hAnsi="Arial" w:cs="Arial"/>
                <w:b/>
                <w:sz w:val="24"/>
                <w:szCs w:val="24"/>
              </w:rPr>
              <w:t>Actual (2018/19)</w:t>
            </w:r>
          </w:p>
          <w:p w:rsidR="00706409" w:rsidRPr="00706409" w:rsidRDefault="00F641D9" w:rsidP="00706409">
            <w:pPr>
              <w:jc w:val="both"/>
              <w:rPr>
                <w:rFonts w:ascii="Arial" w:hAnsi="Arial" w:cs="Arial"/>
                <w:b/>
                <w:sz w:val="24"/>
                <w:szCs w:val="24"/>
              </w:rPr>
            </w:pPr>
          </w:p>
        </w:tc>
        <w:tc>
          <w:tcPr>
            <w:tcW w:w="1791" w:type="dxa"/>
          </w:tcPr>
          <w:p w:rsidR="00706409" w:rsidRPr="00706409" w:rsidRDefault="00D205EF" w:rsidP="00706409">
            <w:pPr>
              <w:jc w:val="both"/>
              <w:rPr>
                <w:rFonts w:ascii="Arial" w:hAnsi="Arial" w:cs="Arial"/>
                <w:b/>
                <w:sz w:val="24"/>
                <w:szCs w:val="24"/>
              </w:rPr>
            </w:pPr>
            <w:r w:rsidRPr="00706409">
              <w:rPr>
                <w:rFonts w:ascii="Arial" w:hAnsi="Arial" w:cs="Arial"/>
                <w:b/>
                <w:sz w:val="24"/>
                <w:szCs w:val="24"/>
              </w:rPr>
              <w:t>Total to date</w:t>
            </w:r>
          </w:p>
          <w:p w:rsidR="00706409" w:rsidRPr="00706409" w:rsidRDefault="00F641D9" w:rsidP="00706409">
            <w:pPr>
              <w:jc w:val="both"/>
              <w:rPr>
                <w:rFonts w:ascii="Arial" w:hAnsi="Arial" w:cs="Arial"/>
                <w:b/>
                <w:sz w:val="24"/>
                <w:szCs w:val="24"/>
              </w:rPr>
            </w:pPr>
          </w:p>
          <w:p w:rsidR="00706409" w:rsidRPr="00706409" w:rsidRDefault="00F641D9" w:rsidP="00706409">
            <w:pPr>
              <w:jc w:val="both"/>
              <w:rPr>
                <w:rFonts w:ascii="Arial" w:hAnsi="Arial" w:cs="Arial"/>
                <w:b/>
                <w:sz w:val="24"/>
                <w:szCs w:val="24"/>
              </w:rPr>
            </w:pPr>
          </w:p>
        </w:tc>
      </w:tr>
      <w:tr w:rsidR="00DB20DF" w:rsidTr="00D30CB8">
        <w:tc>
          <w:tcPr>
            <w:tcW w:w="3681"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 xml:space="preserve">Total number of Housing units completed </w:t>
            </w:r>
          </w:p>
          <w:p w:rsidR="00706409" w:rsidRPr="00706409" w:rsidRDefault="00F641D9" w:rsidP="00706409">
            <w:pPr>
              <w:jc w:val="both"/>
              <w:rPr>
                <w:rFonts w:ascii="Arial" w:hAnsi="Arial" w:cs="Arial"/>
                <w:sz w:val="24"/>
                <w:szCs w:val="24"/>
              </w:rPr>
            </w:pPr>
          </w:p>
        </w:tc>
        <w:tc>
          <w:tcPr>
            <w:tcW w:w="1843"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 xml:space="preserve">260 </w:t>
            </w:r>
            <w:r w:rsidRPr="00706409">
              <w:rPr>
                <w:rFonts w:ascii="Arial" w:hAnsi="Arial" w:cs="Arial"/>
                <w:i/>
                <w:sz w:val="16"/>
                <w:szCs w:val="16"/>
              </w:rPr>
              <w:t>(190 on named sites &amp; 70 on additional)</w:t>
            </w:r>
            <w:r w:rsidRPr="00706409">
              <w:rPr>
                <w:rFonts w:ascii="Arial" w:hAnsi="Arial" w:cs="Arial"/>
                <w:sz w:val="24"/>
                <w:szCs w:val="24"/>
              </w:rPr>
              <w:t xml:space="preserve"> </w:t>
            </w:r>
          </w:p>
        </w:tc>
        <w:tc>
          <w:tcPr>
            <w:tcW w:w="1701"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 xml:space="preserve">491 </w:t>
            </w:r>
            <w:r w:rsidRPr="00706409">
              <w:rPr>
                <w:rFonts w:ascii="Arial" w:hAnsi="Arial" w:cs="Arial"/>
                <w:i/>
                <w:sz w:val="16"/>
                <w:szCs w:val="16"/>
              </w:rPr>
              <w:t>(329 on named sites &amp; 162 on additional)</w:t>
            </w:r>
          </w:p>
          <w:p w:rsidR="00706409" w:rsidRPr="00706409" w:rsidRDefault="00F641D9" w:rsidP="00706409">
            <w:pPr>
              <w:tabs>
                <w:tab w:val="left" w:pos="885"/>
              </w:tabs>
              <w:jc w:val="both"/>
              <w:rPr>
                <w:rFonts w:ascii="Arial" w:hAnsi="Arial" w:cs="Arial"/>
                <w:sz w:val="24"/>
                <w:szCs w:val="24"/>
              </w:rPr>
            </w:pPr>
          </w:p>
          <w:p w:rsidR="00706409" w:rsidRPr="00706409" w:rsidRDefault="00F641D9" w:rsidP="00706409">
            <w:pPr>
              <w:tabs>
                <w:tab w:val="left" w:pos="885"/>
              </w:tabs>
              <w:jc w:val="both"/>
              <w:rPr>
                <w:rFonts w:ascii="Arial" w:hAnsi="Arial" w:cs="Arial"/>
                <w:sz w:val="24"/>
                <w:szCs w:val="24"/>
              </w:rPr>
            </w:pPr>
          </w:p>
        </w:tc>
        <w:tc>
          <w:tcPr>
            <w:tcW w:w="1791"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1,685</w:t>
            </w:r>
          </w:p>
        </w:tc>
      </w:tr>
      <w:tr w:rsidR="00DB20DF" w:rsidTr="00D30CB8">
        <w:trPr>
          <w:trHeight w:val="64"/>
        </w:trPr>
        <w:tc>
          <w:tcPr>
            <w:tcW w:w="3681"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Total number of housing units submitted for planning (Outline  &amp; Full only)</w:t>
            </w:r>
          </w:p>
        </w:tc>
        <w:tc>
          <w:tcPr>
            <w:tcW w:w="1843"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w:t>
            </w:r>
          </w:p>
        </w:tc>
        <w:tc>
          <w:tcPr>
            <w:tcW w:w="1701"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 xml:space="preserve">479 </w:t>
            </w:r>
            <w:r w:rsidRPr="00706409">
              <w:rPr>
                <w:rFonts w:ascii="Arial" w:hAnsi="Arial" w:cs="Arial"/>
                <w:i/>
                <w:sz w:val="16"/>
                <w:szCs w:val="16"/>
              </w:rPr>
              <w:t>(0 on named sites &amp; 479 on additional)</w:t>
            </w:r>
            <w:r w:rsidRPr="00706409">
              <w:rPr>
                <w:rFonts w:ascii="Arial" w:hAnsi="Arial" w:cs="Arial"/>
                <w:sz w:val="24"/>
                <w:szCs w:val="24"/>
              </w:rPr>
              <w:t xml:space="preserve"> </w:t>
            </w:r>
          </w:p>
        </w:tc>
        <w:tc>
          <w:tcPr>
            <w:tcW w:w="1791"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w:t>
            </w:r>
          </w:p>
        </w:tc>
      </w:tr>
      <w:tr w:rsidR="00DB20DF" w:rsidTr="00D30CB8">
        <w:tc>
          <w:tcPr>
            <w:tcW w:w="3681"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Total number of Housing units consented for planning *</w:t>
            </w:r>
          </w:p>
        </w:tc>
        <w:tc>
          <w:tcPr>
            <w:tcW w:w="1843"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w:t>
            </w:r>
          </w:p>
        </w:tc>
        <w:tc>
          <w:tcPr>
            <w:tcW w:w="1701"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 xml:space="preserve">704 </w:t>
            </w:r>
            <w:r w:rsidRPr="00706409">
              <w:rPr>
                <w:rFonts w:ascii="Arial" w:hAnsi="Arial" w:cs="Arial"/>
                <w:i/>
                <w:sz w:val="16"/>
                <w:szCs w:val="16"/>
              </w:rPr>
              <w:t>(454 on named sites &amp; 250 on additional)</w:t>
            </w:r>
            <w:r w:rsidRPr="00706409">
              <w:rPr>
                <w:rFonts w:ascii="Arial" w:hAnsi="Arial" w:cs="Arial"/>
                <w:sz w:val="24"/>
                <w:szCs w:val="24"/>
              </w:rPr>
              <w:t xml:space="preserve"> </w:t>
            </w:r>
          </w:p>
          <w:p w:rsidR="00706409" w:rsidRPr="00706409" w:rsidRDefault="00F641D9" w:rsidP="00706409">
            <w:pPr>
              <w:jc w:val="both"/>
              <w:rPr>
                <w:rFonts w:ascii="Arial" w:hAnsi="Arial" w:cs="Arial"/>
                <w:sz w:val="24"/>
                <w:szCs w:val="24"/>
              </w:rPr>
            </w:pPr>
          </w:p>
        </w:tc>
        <w:tc>
          <w:tcPr>
            <w:tcW w:w="1791"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w:t>
            </w:r>
          </w:p>
        </w:tc>
      </w:tr>
      <w:tr w:rsidR="00DB20DF" w:rsidTr="00D30CB8">
        <w:tc>
          <w:tcPr>
            <w:tcW w:w="3681" w:type="dxa"/>
          </w:tcPr>
          <w:p w:rsidR="00706409" w:rsidRPr="00706409" w:rsidRDefault="00D205EF" w:rsidP="00706409">
            <w:pPr>
              <w:jc w:val="both"/>
              <w:rPr>
                <w:rFonts w:ascii="Arial" w:hAnsi="Arial" w:cs="Arial"/>
                <w:sz w:val="24"/>
                <w:szCs w:val="24"/>
              </w:rPr>
            </w:pPr>
            <w:r w:rsidRPr="00706409">
              <w:rPr>
                <w:rFonts w:ascii="Arial" w:hAnsi="Arial" w:cs="Arial"/>
                <w:sz w:val="24"/>
                <w:szCs w:val="24"/>
              </w:rPr>
              <w:t>sites at which construction is actively taking place</w:t>
            </w:r>
          </w:p>
        </w:tc>
        <w:tc>
          <w:tcPr>
            <w:tcW w:w="1843"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w:t>
            </w:r>
          </w:p>
          <w:p w:rsidR="00706409" w:rsidRPr="00706409" w:rsidRDefault="00F641D9" w:rsidP="00706409">
            <w:pPr>
              <w:tabs>
                <w:tab w:val="left" w:pos="885"/>
              </w:tabs>
              <w:jc w:val="both"/>
              <w:rPr>
                <w:rFonts w:ascii="Arial" w:hAnsi="Arial" w:cs="Arial"/>
                <w:sz w:val="24"/>
                <w:szCs w:val="24"/>
              </w:rPr>
            </w:pPr>
          </w:p>
        </w:tc>
        <w:tc>
          <w:tcPr>
            <w:tcW w:w="1701" w:type="dxa"/>
          </w:tcPr>
          <w:p w:rsidR="00706409" w:rsidRPr="00706409" w:rsidRDefault="00D205EF" w:rsidP="00706409">
            <w:pPr>
              <w:tabs>
                <w:tab w:val="left" w:pos="885"/>
              </w:tabs>
              <w:jc w:val="both"/>
              <w:rPr>
                <w:rFonts w:ascii="Arial" w:hAnsi="Arial" w:cs="Arial"/>
                <w:sz w:val="24"/>
                <w:szCs w:val="24"/>
              </w:rPr>
            </w:pPr>
            <w:r w:rsidRPr="00706409">
              <w:rPr>
                <w:rFonts w:ascii="Arial" w:hAnsi="Arial" w:cs="Arial"/>
                <w:sz w:val="24"/>
                <w:szCs w:val="24"/>
              </w:rPr>
              <w:t>14</w:t>
            </w:r>
          </w:p>
        </w:tc>
        <w:tc>
          <w:tcPr>
            <w:tcW w:w="1791" w:type="dxa"/>
          </w:tcPr>
          <w:p w:rsidR="00706409" w:rsidRPr="00706409" w:rsidRDefault="00F641D9" w:rsidP="00706409">
            <w:pPr>
              <w:tabs>
                <w:tab w:val="left" w:pos="885"/>
              </w:tabs>
              <w:jc w:val="both"/>
              <w:rPr>
                <w:rFonts w:ascii="Arial" w:hAnsi="Arial" w:cs="Arial"/>
                <w:sz w:val="24"/>
                <w:szCs w:val="24"/>
              </w:rPr>
            </w:pPr>
          </w:p>
        </w:tc>
      </w:tr>
    </w:tbl>
    <w:p w:rsidR="00706409" w:rsidRPr="00706409" w:rsidRDefault="00D205EF" w:rsidP="00706409">
      <w:pPr>
        <w:spacing w:after="0" w:line="240" w:lineRule="auto"/>
        <w:ind w:left="360"/>
        <w:jc w:val="both"/>
        <w:rPr>
          <w:rFonts w:ascii="Arial" w:hAnsi="Arial" w:cs="Arial"/>
          <w:sz w:val="24"/>
          <w:szCs w:val="24"/>
        </w:rPr>
      </w:pPr>
      <w:r w:rsidRPr="00706409">
        <w:rPr>
          <w:rFonts w:ascii="Arial" w:hAnsi="Arial" w:cs="Arial"/>
          <w:sz w:val="24"/>
          <w:szCs w:val="24"/>
        </w:rPr>
        <w:t>*</w:t>
      </w:r>
      <w:r w:rsidRPr="00706409">
        <w:rPr>
          <w:rFonts w:ascii="Arial" w:hAnsi="Arial" w:cs="Arial"/>
          <w:sz w:val="24"/>
          <w:szCs w:val="24"/>
        </w:rPr>
        <w:tab/>
        <w:t>Includes Outline and Full Planning consent only</w:t>
      </w:r>
    </w:p>
    <w:p w:rsidR="00706409" w:rsidRPr="00706409" w:rsidRDefault="00D205EF" w:rsidP="00706409">
      <w:pPr>
        <w:spacing w:after="0" w:line="240" w:lineRule="auto"/>
        <w:ind w:left="360"/>
        <w:jc w:val="both"/>
        <w:rPr>
          <w:rFonts w:ascii="Arial" w:hAnsi="Arial" w:cs="Arial"/>
          <w:sz w:val="24"/>
          <w:szCs w:val="24"/>
        </w:rPr>
      </w:pPr>
      <w:r w:rsidRPr="00706409">
        <w:rPr>
          <w:rFonts w:ascii="Arial" w:hAnsi="Arial" w:cs="Arial"/>
          <w:sz w:val="24"/>
          <w:szCs w:val="24"/>
        </w:rPr>
        <w:t>Targets have been informed by the Hive housing trajectory 2018</w:t>
      </w:r>
    </w:p>
    <w:p w:rsidR="00706409" w:rsidRPr="00706409" w:rsidRDefault="00F641D9" w:rsidP="00706409">
      <w:pPr>
        <w:spacing w:after="0" w:line="240" w:lineRule="auto"/>
        <w:jc w:val="both"/>
        <w:rPr>
          <w:rFonts w:ascii="Arial" w:hAnsi="Arial" w:cs="Arial"/>
          <w:sz w:val="24"/>
          <w:szCs w:val="24"/>
        </w:rPr>
      </w:pPr>
    </w:p>
    <w:p w:rsidR="00706409" w:rsidRPr="00706409" w:rsidRDefault="00D205EF" w:rsidP="00706409">
      <w:pPr>
        <w:spacing w:after="0" w:line="240" w:lineRule="auto"/>
        <w:ind w:firstLine="567"/>
        <w:jc w:val="both"/>
        <w:rPr>
          <w:rFonts w:ascii="Arial" w:hAnsi="Arial" w:cs="Arial"/>
          <w:b/>
          <w:sz w:val="24"/>
          <w:szCs w:val="24"/>
        </w:rPr>
      </w:pPr>
      <w:r w:rsidRPr="00706409">
        <w:rPr>
          <w:rFonts w:ascii="Arial" w:hAnsi="Arial" w:cs="Arial"/>
          <w:b/>
          <w:sz w:val="24"/>
          <w:szCs w:val="24"/>
        </w:rPr>
        <w:t>Housing delivery – Implications for City Deal:</w:t>
      </w:r>
    </w:p>
    <w:p w:rsidR="00706409" w:rsidRPr="00706409" w:rsidRDefault="00F641D9" w:rsidP="00706409">
      <w:pPr>
        <w:spacing w:after="0" w:line="240" w:lineRule="auto"/>
        <w:jc w:val="both"/>
        <w:rPr>
          <w:rFonts w:ascii="Arial" w:hAnsi="Arial" w:cs="Arial"/>
          <w:sz w:val="24"/>
          <w:szCs w:val="24"/>
        </w:rPr>
      </w:pPr>
    </w:p>
    <w:p w:rsidR="00706409" w:rsidRPr="00706409" w:rsidRDefault="00BC4E16" w:rsidP="00706409">
      <w:pPr>
        <w:tabs>
          <w:tab w:val="left" w:pos="567"/>
        </w:tabs>
        <w:spacing w:after="0" w:line="240" w:lineRule="auto"/>
        <w:ind w:left="567" w:hanging="567"/>
        <w:jc w:val="both"/>
        <w:rPr>
          <w:rFonts w:ascii="Arial" w:hAnsi="Arial" w:cs="Arial"/>
          <w:sz w:val="24"/>
          <w:szCs w:val="24"/>
        </w:rPr>
      </w:pPr>
      <w:r>
        <w:rPr>
          <w:rFonts w:ascii="Arial" w:hAnsi="Arial" w:cs="Arial"/>
          <w:sz w:val="24"/>
          <w:szCs w:val="24"/>
        </w:rPr>
        <w:t>2.7</w:t>
      </w:r>
      <w:r w:rsidR="00D205EF" w:rsidRPr="00706409">
        <w:rPr>
          <w:rFonts w:ascii="Arial" w:hAnsi="Arial" w:cs="Arial"/>
          <w:sz w:val="24"/>
          <w:szCs w:val="24"/>
        </w:rPr>
        <w:t xml:space="preserve">  </w:t>
      </w:r>
      <w:r w:rsidR="00D205EF" w:rsidRPr="00706409">
        <w:rPr>
          <w:rFonts w:ascii="Arial" w:hAnsi="Arial" w:cs="Arial"/>
          <w:sz w:val="24"/>
          <w:szCs w:val="24"/>
        </w:rPr>
        <w:tab/>
        <w:t xml:space="preserve">Overall unit delivery on both named City Deal sites and on windfall sites has exceeded targets for 2018-19.  Performance in South </w:t>
      </w:r>
      <w:proofErr w:type="spellStart"/>
      <w:r w:rsidR="00D205EF" w:rsidRPr="00706409">
        <w:rPr>
          <w:rFonts w:ascii="Arial" w:hAnsi="Arial" w:cs="Arial"/>
          <w:sz w:val="24"/>
          <w:szCs w:val="24"/>
        </w:rPr>
        <w:t>Ribble</w:t>
      </w:r>
      <w:proofErr w:type="spellEnd"/>
      <w:r w:rsidR="00D205EF" w:rsidRPr="00706409">
        <w:rPr>
          <w:rFonts w:ascii="Arial" w:hAnsi="Arial" w:cs="Arial"/>
          <w:sz w:val="24"/>
          <w:szCs w:val="24"/>
        </w:rPr>
        <w:t xml:space="preserve"> has been much stronger in the last year than previously</w:t>
      </w:r>
      <w:r w:rsidR="00D205EF">
        <w:rPr>
          <w:rFonts w:ascii="Arial" w:hAnsi="Arial" w:cs="Arial"/>
          <w:sz w:val="24"/>
          <w:szCs w:val="24"/>
        </w:rPr>
        <w:t>,</w:t>
      </w:r>
      <w:r w:rsidR="00D205EF" w:rsidRPr="00706409">
        <w:rPr>
          <w:rFonts w:ascii="Arial" w:hAnsi="Arial" w:cs="Arial"/>
          <w:sz w:val="24"/>
          <w:szCs w:val="24"/>
        </w:rPr>
        <w:t xml:space="preserve"> with Preston delivery remaining strong overall and particularly in North West Preston.  A slight delay in completions in the City Centre has affected overall performance against Preston targets but construction is now back on track with completions of city centre apartments expected in the next year.</w:t>
      </w:r>
    </w:p>
    <w:p w:rsidR="00706409" w:rsidRPr="00706409" w:rsidRDefault="00F641D9" w:rsidP="00706409">
      <w:pPr>
        <w:tabs>
          <w:tab w:val="left" w:pos="567"/>
        </w:tabs>
        <w:spacing w:after="0" w:line="240" w:lineRule="auto"/>
        <w:ind w:left="567" w:hanging="567"/>
        <w:jc w:val="both"/>
        <w:rPr>
          <w:rFonts w:ascii="Arial" w:hAnsi="Arial" w:cs="Arial"/>
          <w:sz w:val="24"/>
          <w:szCs w:val="24"/>
        </w:rPr>
      </w:pPr>
    </w:p>
    <w:p w:rsidR="00706409" w:rsidRPr="00706409" w:rsidRDefault="00D205EF" w:rsidP="00706409">
      <w:pPr>
        <w:tabs>
          <w:tab w:val="left" w:pos="567"/>
        </w:tabs>
        <w:spacing w:after="0" w:line="240" w:lineRule="auto"/>
        <w:ind w:left="567" w:hanging="567"/>
        <w:jc w:val="both"/>
        <w:rPr>
          <w:rFonts w:ascii="Arial" w:hAnsi="Arial" w:cs="Arial"/>
          <w:sz w:val="24"/>
          <w:szCs w:val="24"/>
        </w:rPr>
      </w:pPr>
      <w:r w:rsidRPr="00706409">
        <w:rPr>
          <w:rFonts w:ascii="Arial" w:hAnsi="Arial" w:cs="Arial"/>
          <w:sz w:val="24"/>
          <w:szCs w:val="24"/>
        </w:rPr>
        <w:tab/>
        <w:t>With regard to the impact on the City Deal finance model</w:t>
      </w:r>
      <w:r>
        <w:rPr>
          <w:rFonts w:ascii="Arial" w:hAnsi="Arial" w:cs="Arial"/>
          <w:sz w:val="24"/>
          <w:szCs w:val="24"/>
        </w:rPr>
        <w:t>,</w:t>
      </w:r>
      <w:r w:rsidRPr="00706409">
        <w:rPr>
          <w:rFonts w:ascii="Arial" w:hAnsi="Arial" w:cs="Arial"/>
          <w:sz w:val="24"/>
          <w:szCs w:val="24"/>
        </w:rPr>
        <w:t xml:space="preserve"> the category of the site (i.e. named or windfall) has a direct bearing on how income is forecast. Therefore it is important to note that whilst outputs overall are positive against targets, the mix, location and type of unit is important in determining income into the model. A separate finance report will consider the impact of recent housing performance on income targets and how future forecasts should be revised.  Appendix 2 provides more information about the performance and progress of individual named sites.  There are a small number of sites that are now not predicted to deliver in the year originally profiled and this will have a direct impact on when the income is forecast to come into the model, these sites are:-  </w:t>
      </w:r>
    </w:p>
    <w:p w:rsidR="00706409" w:rsidRPr="00706409" w:rsidRDefault="00F641D9" w:rsidP="00706409">
      <w:pPr>
        <w:tabs>
          <w:tab w:val="left" w:pos="567"/>
        </w:tabs>
        <w:spacing w:after="0" w:line="240" w:lineRule="auto"/>
        <w:ind w:left="567" w:hanging="567"/>
        <w:jc w:val="both"/>
        <w:rPr>
          <w:rFonts w:ascii="Arial" w:hAnsi="Arial" w:cs="Arial"/>
          <w:sz w:val="24"/>
          <w:szCs w:val="24"/>
        </w:rPr>
      </w:pPr>
    </w:p>
    <w:p w:rsidR="00706409" w:rsidRPr="00706409" w:rsidRDefault="00D205EF" w:rsidP="00BC4E16">
      <w:pPr>
        <w:tabs>
          <w:tab w:val="left" w:pos="567"/>
        </w:tabs>
        <w:spacing w:after="0" w:line="240" w:lineRule="auto"/>
        <w:ind w:left="360" w:firstLine="207"/>
        <w:jc w:val="both"/>
        <w:rPr>
          <w:rFonts w:ascii="Arial" w:hAnsi="Arial" w:cs="Arial"/>
          <w:sz w:val="24"/>
          <w:szCs w:val="24"/>
        </w:rPr>
      </w:pPr>
      <w:r w:rsidRPr="00706409">
        <w:rPr>
          <w:rFonts w:ascii="Arial" w:hAnsi="Arial" w:cs="Arial"/>
          <w:sz w:val="24"/>
          <w:szCs w:val="24"/>
        </w:rPr>
        <w:t xml:space="preserve">Moss Side Test Track – phase 1 (175 units) – build out now year 7 (was </w:t>
      </w:r>
      <w:proofErr w:type="spellStart"/>
      <w:r w:rsidRPr="00706409">
        <w:rPr>
          <w:rFonts w:ascii="Arial" w:hAnsi="Arial" w:cs="Arial"/>
          <w:sz w:val="24"/>
          <w:szCs w:val="24"/>
        </w:rPr>
        <w:t>yr</w:t>
      </w:r>
      <w:proofErr w:type="spellEnd"/>
      <w:r w:rsidRPr="00706409">
        <w:rPr>
          <w:rFonts w:ascii="Arial" w:hAnsi="Arial" w:cs="Arial"/>
          <w:sz w:val="24"/>
          <w:szCs w:val="24"/>
        </w:rPr>
        <w:t xml:space="preserve"> 6).</w:t>
      </w:r>
    </w:p>
    <w:p w:rsidR="00706409" w:rsidRPr="00706409" w:rsidRDefault="00D205EF" w:rsidP="00BC4E16">
      <w:pPr>
        <w:tabs>
          <w:tab w:val="left" w:pos="567"/>
        </w:tabs>
        <w:spacing w:after="0" w:line="240" w:lineRule="auto"/>
        <w:ind w:left="360" w:firstLine="207"/>
        <w:jc w:val="both"/>
        <w:rPr>
          <w:rFonts w:ascii="Arial" w:hAnsi="Arial" w:cs="Arial"/>
          <w:sz w:val="24"/>
          <w:szCs w:val="24"/>
        </w:rPr>
      </w:pPr>
      <w:proofErr w:type="spellStart"/>
      <w:r w:rsidRPr="00706409">
        <w:rPr>
          <w:rFonts w:ascii="Arial" w:hAnsi="Arial" w:cs="Arial"/>
          <w:sz w:val="24"/>
          <w:szCs w:val="24"/>
        </w:rPr>
        <w:t>Inglewhite</w:t>
      </w:r>
      <w:proofErr w:type="spellEnd"/>
      <w:r w:rsidRPr="00706409">
        <w:rPr>
          <w:rFonts w:ascii="Arial" w:hAnsi="Arial" w:cs="Arial"/>
          <w:sz w:val="24"/>
          <w:szCs w:val="24"/>
        </w:rPr>
        <w:t xml:space="preserve"> Road, Preston (190 units) – build out now year 7/8 (was </w:t>
      </w:r>
      <w:proofErr w:type="spellStart"/>
      <w:r w:rsidRPr="00706409">
        <w:rPr>
          <w:rFonts w:ascii="Arial" w:hAnsi="Arial" w:cs="Arial"/>
          <w:sz w:val="24"/>
          <w:szCs w:val="24"/>
        </w:rPr>
        <w:t>yr</w:t>
      </w:r>
      <w:proofErr w:type="spellEnd"/>
      <w:r w:rsidRPr="00706409">
        <w:rPr>
          <w:rFonts w:ascii="Arial" w:hAnsi="Arial" w:cs="Arial"/>
          <w:sz w:val="24"/>
          <w:szCs w:val="24"/>
        </w:rPr>
        <w:t xml:space="preserve"> 6)</w:t>
      </w:r>
    </w:p>
    <w:p w:rsidR="00706409" w:rsidRPr="00706409" w:rsidRDefault="00F641D9" w:rsidP="00612BC9">
      <w:pPr>
        <w:tabs>
          <w:tab w:val="left" w:pos="567"/>
        </w:tabs>
        <w:spacing w:after="0" w:line="240" w:lineRule="auto"/>
        <w:jc w:val="both"/>
        <w:rPr>
          <w:rFonts w:ascii="Arial" w:hAnsi="Arial" w:cs="Arial"/>
          <w:sz w:val="24"/>
          <w:szCs w:val="24"/>
        </w:rPr>
      </w:pPr>
    </w:p>
    <w:p w:rsidR="00706409" w:rsidRPr="00706409" w:rsidRDefault="00BC4E16" w:rsidP="00706409">
      <w:pPr>
        <w:spacing w:after="0" w:line="240" w:lineRule="auto"/>
        <w:ind w:left="567" w:hanging="567"/>
        <w:jc w:val="both"/>
        <w:rPr>
          <w:rFonts w:ascii="Arial" w:hAnsi="Arial" w:cs="Arial"/>
          <w:sz w:val="24"/>
          <w:szCs w:val="24"/>
        </w:rPr>
      </w:pPr>
      <w:r>
        <w:rPr>
          <w:rFonts w:ascii="Arial" w:hAnsi="Arial" w:cs="Arial"/>
          <w:sz w:val="24"/>
          <w:szCs w:val="24"/>
        </w:rPr>
        <w:t>2.8</w:t>
      </w:r>
      <w:r w:rsidR="00D205EF" w:rsidRPr="00706409">
        <w:rPr>
          <w:rFonts w:ascii="Arial" w:hAnsi="Arial" w:cs="Arial"/>
          <w:sz w:val="24"/>
          <w:szCs w:val="24"/>
        </w:rPr>
        <w:t xml:space="preserve">   Focussing upon the key Homes England sites, progress has been made against the following key milestones in 2018/19: </w:t>
      </w:r>
    </w:p>
    <w:p w:rsidR="00706409" w:rsidRPr="00706409" w:rsidRDefault="00F641D9" w:rsidP="00706409">
      <w:pPr>
        <w:spacing w:after="0" w:line="240" w:lineRule="auto"/>
        <w:rPr>
          <w:rFonts w:ascii="Arial" w:hAnsi="Arial" w:cs="Arial"/>
          <w:b/>
          <w:sz w:val="24"/>
          <w:szCs w:val="24"/>
          <w:u w:val="single"/>
        </w:rPr>
      </w:pPr>
    </w:p>
    <w:p w:rsidR="00706409" w:rsidRPr="00706409" w:rsidRDefault="00D205EF" w:rsidP="00706409">
      <w:pPr>
        <w:spacing w:after="0" w:line="240" w:lineRule="auto"/>
        <w:rPr>
          <w:rFonts w:ascii="Arial" w:hAnsi="Arial" w:cs="Arial"/>
          <w:b/>
          <w:sz w:val="24"/>
          <w:szCs w:val="24"/>
          <w:u w:val="single"/>
        </w:rPr>
      </w:pPr>
      <w:r w:rsidRPr="00706409">
        <w:rPr>
          <w:rFonts w:ascii="Arial" w:hAnsi="Arial" w:cs="Arial"/>
          <w:b/>
          <w:sz w:val="24"/>
          <w:szCs w:val="24"/>
          <w:u w:val="single"/>
        </w:rPr>
        <w:t>Table 2: Outputs on Homes England sites</w:t>
      </w:r>
    </w:p>
    <w:p w:rsidR="00706409" w:rsidRPr="00706409" w:rsidRDefault="00F641D9" w:rsidP="00706409">
      <w:pPr>
        <w:spacing w:after="0" w:line="240" w:lineRule="auto"/>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3002"/>
        <w:gridCol w:w="3002"/>
        <w:gridCol w:w="3002"/>
      </w:tblGrid>
      <w:tr w:rsidR="00DB20DF" w:rsidTr="00D30CB8">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b/>
                <w:bCs/>
                <w:sz w:val="24"/>
                <w:szCs w:val="24"/>
              </w:rPr>
            </w:pPr>
            <w:r w:rsidRPr="00706409">
              <w:rPr>
                <w:rFonts w:ascii="Arial" w:hAnsi="Arial" w:cs="Arial"/>
                <w:b/>
                <w:bCs/>
                <w:sz w:val="24"/>
                <w:szCs w:val="24"/>
              </w:rPr>
              <w:t xml:space="preserve">OUTPUT </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b/>
                <w:bCs/>
                <w:sz w:val="24"/>
                <w:szCs w:val="24"/>
              </w:rPr>
            </w:pPr>
            <w:r w:rsidRPr="00706409">
              <w:rPr>
                <w:rFonts w:ascii="Arial" w:hAnsi="Arial" w:cs="Arial"/>
                <w:b/>
                <w:bCs/>
                <w:sz w:val="24"/>
                <w:szCs w:val="24"/>
              </w:rPr>
              <w:t>2018/19 Forecast</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b/>
                <w:bCs/>
                <w:sz w:val="24"/>
                <w:szCs w:val="24"/>
              </w:rPr>
            </w:pPr>
            <w:r w:rsidRPr="00706409">
              <w:rPr>
                <w:rFonts w:ascii="Arial" w:hAnsi="Arial" w:cs="Arial"/>
                <w:b/>
                <w:bCs/>
                <w:sz w:val="24"/>
                <w:szCs w:val="24"/>
              </w:rPr>
              <w:t>Year End Actual (at 31 March 2019)</w:t>
            </w:r>
          </w:p>
        </w:tc>
      </w:tr>
      <w:tr w:rsidR="00DB20DF" w:rsidTr="00D30CB8">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sz w:val="24"/>
                <w:szCs w:val="24"/>
              </w:rPr>
            </w:pPr>
            <w:r w:rsidRPr="00706409">
              <w:rPr>
                <w:rFonts w:ascii="Arial" w:hAnsi="Arial" w:cs="Arial"/>
                <w:sz w:val="24"/>
                <w:szCs w:val="24"/>
              </w:rPr>
              <w:t>Start on site</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sz w:val="24"/>
                <w:szCs w:val="24"/>
              </w:rPr>
            </w:pPr>
            <w:r w:rsidRPr="00706409">
              <w:rPr>
                <w:rFonts w:ascii="Arial" w:hAnsi="Arial" w:cs="Arial"/>
                <w:sz w:val="24"/>
                <w:szCs w:val="24"/>
              </w:rPr>
              <w:t>1</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sz w:val="24"/>
                <w:szCs w:val="24"/>
              </w:rPr>
            </w:pPr>
            <w:r w:rsidRPr="00706409">
              <w:rPr>
                <w:rFonts w:ascii="Arial" w:hAnsi="Arial" w:cs="Arial"/>
                <w:sz w:val="24"/>
                <w:szCs w:val="24"/>
              </w:rPr>
              <w:t>2</w:t>
            </w:r>
          </w:p>
        </w:tc>
      </w:tr>
      <w:tr w:rsidR="00DB20DF" w:rsidTr="00D30CB8">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sz w:val="24"/>
                <w:szCs w:val="24"/>
              </w:rPr>
            </w:pPr>
            <w:r w:rsidRPr="00706409">
              <w:rPr>
                <w:rFonts w:ascii="Arial" w:hAnsi="Arial" w:cs="Arial"/>
                <w:sz w:val="24"/>
                <w:szCs w:val="24"/>
              </w:rPr>
              <w:t>Housing completions</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sz w:val="24"/>
                <w:szCs w:val="24"/>
              </w:rPr>
            </w:pPr>
            <w:r w:rsidRPr="00706409">
              <w:rPr>
                <w:rFonts w:ascii="Arial" w:hAnsi="Arial" w:cs="Arial"/>
                <w:sz w:val="24"/>
                <w:szCs w:val="24"/>
              </w:rPr>
              <w:t>139</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sz w:val="24"/>
                <w:szCs w:val="24"/>
              </w:rPr>
            </w:pPr>
            <w:r w:rsidRPr="00706409">
              <w:rPr>
                <w:rFonts w:ascii="Arial" w:hAnsi="Arial" w:cs="Arial"/>
                <w:sz w:val="24"/>
                <w:szCs w:val="24"/>
              </w:rPr>
              <w:t>162</w:t>
            </w:r>
          </w:p>
        </w:tc>
      </w:tr>
      <w:tr w:rsidR="00DB20DF" w:rsidTr="00D30CB8">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sz w:val="24"/>
                <w:szCs w:val="24"/>
              </w:rPr>
            </w:pPr>
            <w:r w:rsidRPr="00706409">
              <w:rPr>
                <w:rFonts w:ascii="Arial" w:hAnsi="Arial" w:cs="Arial"/>
                <w:sz w:val="24"/>
                <w:szCs w:val="24"/>
              </w:rPr>
              <w:t>Site completions</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sz w:val="24"/>
                <w:szCs w:val="24"/>
              </w:rPr>
            </w:pPr>
            <w:r w:rsidRPr="00706409">
              <w:rPr>
                <w:rFonts w:ascii="Arial" w:hAnsi="Arial" w:cs="Arial"/>
                <w:sz w:val="24"/>
                <w:szCs w:val="24"/>
              </w:rPr>
              <w:t>1</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sz w:val="24"/>
                <w:szCs w:val="24"/>
              </w:rPr>
            </w:pPr>
            <w:r w:rsidRPr="00706409">
              <w:rPr>
                <w:rFonts w:ascii="Arial" w:hAnsi="Arial" w:cs="Arial"/>
                <w:sz w:val="24"/>
                <w:szCs w:val="24"/>
              </w:rPr>
              <w:t>1</w:t>
            </w:r>
          </w:p>
        </w:tc>
      </w:tr>
      <w:tr w:rsidR="00DB20DF" w:rsidTr="00D30CB8">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sz w:val="24"/>
                <w:szCs w:val="24"/>
              </w:rPr>
            </w:pPr>
            <w:r w:rsidRPr="00706409">
              <w:rPr>
                <w:rFonts w:ascii="Arial" w:hAnsi="Arial" w:cs="Arial"/>
                <w:sz w:val="24"/>
                <w:szCs w:val="24"/>
              </w:rPr>
              <w:t>Planning application submissions (includes Outline and Reserved Matters)</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sz w:val="24"/>
                <w:szCs w:val="24"/>
              </w:rPr>
            </w:pPr>
            <w:r w:rsidRPr="00706409">
              <w:rPr>
                <w:rFonts w:ascii="Arial" w:hAnsi="Arial" w:cs="Arial"/>
                <w:sz w:val="24"/>
                <w:szCs w:val="24"/>
              </w:rPr>
              <w:t>3</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sz w:val="24"/>
                <w:szCs w:val="24"/>
              </w:rPr>
            </w:pPr>
            <w:r w:rsidRPr="00706409">
              <w:rPr>
                <w:rFonts w:ascii="Arial" w:hAnsi="Arial" w:cs="Arial"/>
                <w:sz w:val="24"/>
                <w:szCs w:val="24"/>
              </w:rPr>
              <w:t>3</w:t>
            </w:r>
          </w:p>
        </w:tc>
      </w:tr>
      <w:tr w:rsidR="00DB20DF" w:rsidTr="00D30CB8">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sz w:val="24"/>
                <w:szCs w:val="24"/>
              </w:rPr>
            </w:pPr>
            <w:r w:rsidRPr="00706409">
              <w:rPr>
                <w:rFonts w:ascii="Arial" w:hAnsi="Arial" w:cs="Arial"/>
                <w:sz w:val="24"/>
                <w:szCs w:val="24"/>
              </w:rPr>
              <w:t>Planning application approvals (includes Outline and Reserved Matters)</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sz w:val="24"/>
                <w:szCs w:val="24"/>
              </w:rPr>
            </w:pPr>
            <w:r w:rsidRPr="00706409">
              <w:rPr>
                <w:rFonts w:ascii="Arial" w:hAnsi="Arial" w:cs="Arial"/>
                <w:sz w:val="24"/>
                <w:szCs w:val="24"/>
              </w:rPr>
              <w:t>1</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sz w:val="24"/>
                <w:szCs w:val="24"/>
              </w:rPr>
            </w:pPr>
            <w:r w:rsidRPr="00706409">
              <w:rPr>
                <w:rFonts w:ascii="Arial" w:hAnsi="Arial" w:cs="Arial"/>
                <w:sz w:val="24"/>
                <w:szCs w:val="24"/>
              </w:rPr>
              <w:t>1</w:t>
            </w:r>
          </w:p>
        </w:tc>
      </w:tr>
      <w:tr w:rsidR="00DB20DF" w:rsidTr="00D30CB8">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sz w:val="24"/>
                <w:szCs w:val="24"/>
              </w:rPr>
            </w:pPr>
            <w:r w:rsidRPr="00706409">
              <w:rPr>
                <w:rFonts w:ascii="Arial" w:hAnsi="Arial" w:cs="Arial"/>
                <w:sz w:val="24"/>
                <w:szCs w:val="24"/>
              </w:rPr>
              <w:t>Sites currently under construction*</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sz w:val="24"/>
                <w:szCs w:val="24"/>
              </w:rPr>
            </w:pPr>
            <w:r w:rsidRPr="00706409">
              <w:rPr>
                <w:rFonts w:ascii="Arial" w:hAnsi="Arial" w:cs="Arial"/>
                <w:sz w:val="24"/>
                <w:szCs w:val="24"/>
              </w:rPr>
              <w:t>8 Housing</w:t>
            </w:r>
          </w:p>
          <w:p w:rsidR="00706409" w:rsidRPr="00706409" w:rsidRDefault="00D205EF" w:rsidP="00706409">
            <w:pPr>
              <w:spacing w:after="0" w:line="240" w:lineRule="auto"/>
              <w:rPr>
                <w:rFonts w:ascii="Arial" w:hAnsi="Arial" w:cs="Arial"/>
                <w:sz w:val="24"/>
                <w:szCs w:val="24"/>
              </w:rPr>
            </w:pPr>
            <w:r w:rsidRPr="00706409">
              <w:rPr>
                <w:rFonts w:ascii="Arial" w:hAnsi="Arial" w:cs="Arial"/>
                <w:sz w:val="24"/>
                <w:szCs w:val="24"/>
              </w:rPr>
              <w:t>1 Employment</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706409" w:rsidRPr="00706409" w:rsidRDefault="00D205EF" w:rsidP="00706409">
            <w:pPr>
              <w:spacing w:after="0" w:line="240" w:lineRule="auto"/>
              <w:rPr>
                <w:rFonts w:ascii="Arial" w:hAnsi="Arial" w:cs="Arial"/>
                <w:sz w:val="24"/>
                <w:szCs w:val="24"/>
              </w:rPr>
            </w:pPr>
            <w:r w:rsidRPr="00706409">
              <w:rPr>
                <w:rFonts w:ascii="Arial" w:hAnsi="Arial" w:cs="Arial"/>
                <w:sz w:val="24"/>
                <w:szCs w:val="24"/>
              </w:rPr>
              <w:t>6 Housing</w:t>
            </w:r>
          </w:p>
          <w:p w:rsidR="00706409" w:rsidRPr="00706409" w:rsidRDefault="00D205EF" w:rsidP="00706409">
            <w:pPr>
              <w:spacing w:after="0" w:line="240" w:lineRule="auto"/>
              <w:rPr>
                <w:rFonts w:ascii="Arial" w:hAnsi="Arial" w:cs="Arial"/>
                <w:sz w:val="24"/>
                <w:szCs w:val="24"/>
              </w:rPr>
            </w:pPr>
            <w:r w:rsidRPr="00706409">
              <w:rPr>
                <w:rFonts w:ascii="Arial" w:hAnsi="Arial" w:cs="Arial"/>
                <w:sz w:val="24"/>
                <w:szCs w:val="24"/>
              </w:rPr>
              <w:t xml:space="preserve">1 Employment </w:t>
            </w:r>
          </w:p>
        </w:tc>
      </w:tr>
    </w:tbl>
    <w:p w:rsidR="00706409" w:rsidRPr="00706409" w:rsidRDefault="00F641D9" w:rsidP="00706409">
      <w:pPr>
        <w:spacing w:after="0" w:line="240" w:lineRule="auto"/>
        <w:jc w:val="both"/>
        <w:rPr>
          <w:rFonts w:ascii="Arial" w:hAnsi="Arial" w:cs="Arial"/>
          <w:sz w:val="20"/>
          <w:szCs w:val="20"/>
        </w:rPr>
      </w:pPr>
    </w:p>
    <w:p w:rsidR="00706409" w:rsidRPr="00706409" w:rsidRDefault="00D205EF" w:rsidP="00706409">
      <w:pPr>
        <w:spacing w:after="0" w:line="240" w:lineRule="auto"/>
        <w:jc w:val="both"/>
        <w:rPr>
          <w:rFonts w:ascii="Arial" w:hAnsi="Arial" w:cs="Arial"/>
          <w:sz w:val="18"/>
          <w:szCs w:val="18"/>
        </w:rPr>
      </w:pPr>
      <w:r w:rsidRPr="00706409">
        <w:rPr>
          <w:rFonts w:ascii="Arial" w:hAnsi="Arial" w:cs="Arial"/>
          <w:sz w:val="18"/>
          <w:szCs w:val="18"/>
        </w:rPr>
        <w:t>*When referring to Homes England sites, for the purpose of the table above and paragraphs below each phase on Cottam Hall has been counted as a separate site. For example for Cottam Site K, Phase 2 and Phase 3 are being treated as three sites.</w:t>
      </w:r>
    </w:p>
    <w:p w:rsidR="00706409" w:rsidRPr="00706409" w:rsidRDefault="00D205EF" w:rsidP="00706409">
      <w:pPr>
        <w:spacing w:after="0" w:line="240" w:lineRule="auto"/>
        <w:jc w:val="both"/>
        <w:rPr>
          <w:rFonts w:ascii="Arial" w:hAnsi="Arial" w:cs="Arial"/>
          <w:sz w:val="18"/>
          <w:szCs w:val="18"/>
        </w:rPr>
      </w:pPr>
      <w:r w:rsidRPr="00706409">
        <w:rPr>
          <w:rFonts w:ascii="Arial" w:hAnsi="Arial" w:cs="Arial"/>
          <w:sz w:val="18"/>
          <w:szCs w:val="18"/>
        </w:rPr>
        <w:t>Source: Homes England</w:t>
      </w:r>
    </w:p>
    <w:p w:rsidR="00706409" w:rsidRPr="00706409" w:rsidRDefault="00F641D9" w:rsidP="00706409">
      <w:pPr>
        <w:spacing w:after="0" w:line="240" w:lineRule="auto"/>
        <w:jc w:val="both"/>
        <w:rPr>
          <w:rFonts w:ascii="Arial" w:hAnsi="Arial" w:cs="Arial"/>
          <w:color w:val="FF0000"/>
          <w:sz w:val="24"/>
          <w:szCs w:val="24"/>
        </w:rPr>
      </w:pPr>
    </w:p>
    <w:p w:rsidR="00706409" w:rsidRPr="00706409" w:rsidRDefault="00D205EF" w:rsidP="00706409">
      <w:pPr>
        <w:tabs>
          <w:tab w:val="left" w:pos="426"/>
        </w:tabs>
        <w:spacing w:after="0" w:line="240" w:lineRule="auto"/>
        <w:jc w:val="both"/>
        <w:rPr>
          <w:rFonts w:ascii="Arial" w:hAnsi="Arial" w:cs="Arial"/>
          <w:b/>
          <w:sz w:val="24"/>
          <w:szCs w:val="24"/>
        </w:rPr>
      </w:pPr>
      <w:r w:rsidRPr="00706409">
        <w:rPr>
          <w:rFonts w:ascii="Arial" w:hAnsi="Arial" w:cs="Arial"/>
          <w:b/>
          <w:sz w:val="24"/>
          <w:szCs w:val="24"/>
        </w:rPr>
        <w:t>3.0 Performance on Homes England Sites:</w:t>
      </w:r>
    </w:p>
    <w:p w:rsidR="00706409" w:rsidRPr="00706409" w:rsidRDefault="00F641D9" w:rsidP="00706409">
      <w:pPr>
        <w:spacing w:after="0" w:line="240" w:lineRule="auto"/>
        <w:jc w:val="both"/>
        <w:rPr>
          <w:rFonts w:ascii="Arial" w:hAnsi="Arial" w:cs="Arial"/>
          <w:b/>
          <w:bCs/>
          <w:sz w:val="20"/>
          <w:szCs w:val="20"/>
        </w:rPr>
      </w:pPr>
    </w:p>
    <w:p w:rsidR="00706409" w:rsidRPr="00706409" w:rsidRDefault="00D205EF" w:rsidP="00706409">
      <w:pPr>
        <w:spacing w:after="0" w:line="240" w:lineRule="auto"/>
        <w:ind w:left="426" w:hanging="426"/>
        <w:jc w:val="both"/>
        <w:rPr>
          <w:rFonts w:ascii="Arial" w:hAnsi="Arial" w:cs="Arial"/>
          <w:sz w:val="24"/>
          <w:szCs w:val="24"/>
        </w:rPr>
      </w:pPr>
      <w:r w:rsidRPr="00706409">
        <w:rPr>
          <w:rFonts w:ascii="Arial" w:hAnsi="Arial" w:cs="Arial"/>
          <w:sz w:val="24"/>
          <w:szCs w:val="24"/>
        </w:rPr>
        <w:t xml:space="preserve">3.1 2018/19 has been another productive and successful year in terms of activity and delivery on the 11 City Deal Homes England sites.  Residential development is currently underway at 6 Homes England City Deal sites and developers are continuing to build out at a good pace.  During 2018/19, 162 new homes have been completed against an annual forecast of 139 units which is a great </w:t>
      </w:r>
      <w:r w:rsidRPr="00706409">
        <w:rPr>
          <w:rFonts w:ascii="Arial" w:hAnsi="Arial" w:cs="Arial"/>
          <w:sz w:val="24"/>
          <w:szCs w:val="24"/>
        </w:rPr>
        <w:lastRenderedPageBreak/>
        <w:t xml:space="preserve">achievement and shows the ongoing commitment to delivery and market interest.  Build out has recently been completed by Barratt on Cottam Hall Phase 1 (Site K) with final units completing during February 2019.  </w:t>
      </w:r>
      <w:proofErr w:type="spellStart"/>
      <w:r w:rsidRPr="00706409">
        <w:rPr>
          <w:rFonts w:ascii="Arial" w:hAnsi="Arial" w:cs="Arial"/>
          <w:sz w:val="24"/>
          <w:szCs w:val="24"/>
        </w:rPr>
        <w:t>Whittingham</w:t>
      </w:r>
      <w:proofErr w:type="spellEnd"/>
      <w:r w:rsidRPr="00706409">
        <w:rPr>
          <w:rFonts w:ascii="Arial" w:hAnsi="Arial" w:cs="Arial"/>
          <w:sz w:val="24"/>
          <w:szCs w:val="24"/>
        </w:rPr>
        <w:t xml:space="preserve"> Phase 1 is continuing to deliver well with 42 completions during 2018/19 as well as </w:t>
      </w:r>
      <w:proofErr w:type="spellStart"/>
      <w:r w:rsidRPr="00706409">
        <w:rPr>
          <w:rFonts w:ascii="Arial" w:hAnsi="Arial" w:cs="Arial"/>
          <w:sz w:val="24"/>
          <w:szCs w:val="24"/>
        </w:rPr>
        <w:t>Eastway</w:t>
      </w:r>
      <w:proofErr w:type="spellEnd"/>
      <w:r w:rsidRPr="00706409">
        <w:rPr>
          <w:rFonts w:ascii="Arial" w:hAnsi="Arial" w:cs="Arial"/>
          <w:sz w:val="24"/>
          <w:szCs w:val="24"/>
        </w:rPr>
        <w:t xml:space="preserve"> with 28 completions during 2018/19.   Formal starts on site have been made at Cottam Hall Phase 3, Morris Homes (during January 2019) and </w:t>
      </w:r>
      <w:proofErr w:type="spellStart"/>
      <w:r w:rsidRPr="00706409">
        <w:rPr>
          <w:rFonts w:ascii="Arial" w:hAnsi="Arial" w:cs="Arial"/>
          <w:sz w:val="24"/>
          <w:szCs w:val="24"/>
        </w:rPr>
        <w:t>Altcar</w:t>
      </w:r>
      <w:proofErr w:type="spellEnd"/>
      <w:r w:rsidRPr="00706409">
        <w:rPr>
          <w:rFonts w:ascii="Arial" w:hAnsi="Arial" w:cs="Arial"/>
          <w:sz w:val="24"/>
          <w:szCs w:val="24"/>
        </w:rPr>
        <w:t xml:space="preserve"> Lane, Lovell Homes (during February 2019) with completions expected early on in 2019/20. </w:t>
      </w:r>
    </w:p>
    <w:p w:rsidR="00706409" w:rsidRPr="00706409" w:rsidRDefault="00F641D9" w:rsidP="00706409">
      <w:pPr>
        <w:spacing w:after="0" w:line="240" w:lineRule="auto"/>
        <w:ind w:left="426" w:hanging="426"/>
        <w:rPr>
          <w:rFonts w:ascii="Arial" w:hAnsi="Arial" w:cs="Arial"/>
          <w:sz w:val="24"/>
          <w:szCs w:val="24"/>
        </w:rPr>
      </w:pPr>
    </w:p>
    <w:p w:rsidR="00706409" w:rsidRPr="00706409" w:rsidRDefault="00D205EF" w:rsidP="00706409">
      <w:pPr>
        <w:spacing w:after="0" w:line="240" w:lineRule="auto"/>
        <w:ind w:left="426" w:hanging="426"/>
        <w:jc w:val="both"/>
        <w:rPr>
          <w:rFonts w:ascii="Arial" w:hAnsi="Arial" w:cs="Arial"/>
          <w:sz w:val="24"/>
          <w:szCs w:val="24"/>
        </w:rPr>
      </w:pPr>
      <w:r w:rsidRPr="00706409">
        <w:rPr>
          <w:rFonts w:ascii="Arial" w:hAnsi="Arial" w:cs="Arial"/>
          <w:sz w:val="24"/>
          <w:szCs w:val="24"/>
        </w:rPr>
        <w:t xml:space="preserve">3.2 A Conditional Contract was entered in to with Rowland Homes on Cottam Hall Phase 4 with a Reserved Matters Application for 135 units currently under consideration.  A huge amount of progress has continued to be made on the complex de-risking of Pickering’s Farm and </w:t>
      </w:r>
      <w:proofErr w:type="spellStart"/>
      <w:r w:rsidRPr="00706409">
        <w:rPr>
          <w:rFonts w:ascii="Arial" w:hAnsi="Arial" w:cs="Arial"/>
          <w:sz w:val="24"/>
          <w:szCs w:val="24"/>
        </w:rPr>
        <w:t>Whittingham</w:t>
      </w:r>
      <w:proofErr w:type="spellEnd"/>
      <w:r w:rsidRPr="00706409">
        <w:rPr>
          <w:rFonts w:ascii="Arial" w:hAnsi="Arial" w:cs="Arial"/>
          <w:sz w:val="24"/>
          <w:szCs w:val="24"/>
        </w:rPr>
        <w:t xml:space="preserve"> Hospital.  A new Outline Planning Application for 750 units has been submitted at </w:t>
      </w:r>
      <w:proofErr w:type="spellStart"/>
      <w:r w:rsidRPr="00706409">
        <w:rPr>
          <w:rFonts w:ascii="Arial" w:hAnsi="Arial" w:cs="Arial"/>
          <w:sz w:val="24"/>
          <w:szCs w:val="24"/>
        </w:rPr>
        <w:t>Whittingham</w:t>
      </w:r>
      <w:proofErr w:type="spellEnd"/>
      <w:r w:rsidRPr="00706409">
        <w:rPr>
          <w:rFonts w:ascii="Arial" w:hAnsi="Arial" w:cs="Arial"/>
          <w:sz w:val="24"/>
          <w:szCs w:val="24"/>
        </w:rPr>
        <w:t xml:space="preserve"> Hospital (in March 2019).  A revised section 206 is currently being negotiated and the implications on the city deal financial model are </w:t>
      </w:r>
      <w:r>
        <w:rPr>
          <w:rFonts w:ascii="Arial" w:hAnsi="Arial" w:cs="Arial"/>
          <w:sz w:val="24"/>
          <w:szCs w:val="24"/>
        </w:rPr>
        <w:t>not yet fully known</w:t>
      </w:r>
      <w:r w:rsidRPr="00706409">
        <w:rPr>
          <w:rFonts w:ascii="Arial" w:hAnsi="Arial" w:cs="Arial"/>
          <w:sz w:val="24"/>
          <w:szCs w:val="24"/>
        </w:rPr>
        <w:t>.  The Masterplan along with the preparation of a range of technical due diligence work and partnership work has been the focus for the Pickering’s Farm site in 2018/19.  The Masterplan is currently in the process of being finalised with an Outline Planning Application expected to be submitted in late June 2019.</w:t>
      </w:r>
    </w:p>
    <w:p w:rsidR="00706409" w:rsidRPr="00706409" w:rsidRDefault="00F641D9" w:rsidP="00706409">
      <w:pPr>
        <w:spacing w:after="0" w:line="240" w:lineRule="auto"/>
        <w:ind w:left="426" w:hanging="426"/>
        <w:rPr>
          <w:rFonts w:ascii="Arial" w:hAnsi="Arial" w:cs="Arial"/>
          <w:sz w:val="24"/>
          <w:szCs w:val="24"/>
        </w:rPr>
      </w:pPr>
    </w:p>
    <w:p w:rsidR="00706409" w:rsidRPr="00706409" w:rsidRDefault="00D205EF" w:rsidP="00706409">
      <w:pPr>
        <w:spacing w:after="0" w:line="240" w:lineRule="auto"/>
        <w:ind w:left="426" w:hanging="426"/>
        <w:jc w:val="both"/>
        <w:rPr>
          <w:rFonts w:ascii="Arial" w:hAnsi="Arial" w:cs="Arial"/>
          <w:sz w:val="24"/>
          <w:szCs w:val="24"/>
        </w:rPr>
      </w:pPr>
      <w:r w:rsidRPr="00706409">
        <w:rPr>
          <w:rFonts w:ascii="Arial" w:hAnsi="Arial" w:cs="Arial"/>
          <w:sz w:val="24"/>
          <w:szCs w:val="24"/>
        </w:rPr>
        <w:t xml:space="preserve">3.3 Other work relating to the renegotiation of an access agreement for the Cottam Brickworks site has also commenced during 2018/19.  A deal has since been entered in to between Cottam Properties and Lane End Developments on Phase 1 which is expected to make a start on site during 2019/20. </w:t>
      </w:r>
    </w:p>
    <w:p w:rsidR="00706409" w:rsidRPr="00706409" w:rsidRDefault="00F641D9" w:rsidP="00706409">
      <w:pPr>
        <w:spacing w:after="0" w:line="240" w:lineRule="auto"/>
        <w:rPr>
          <w:rFonts w:ascii="Calibri" w:hAnsi="Calibri" w:cs="Times New Roman"/>
          <w:sz w:val="24"/>
          <w:szCs w:val="24"/>
        </w:rPr>
      </w:pPr>
    </w:p>
    <w:p w:rsidR="00706409" w:rsidRPr="00706409" w:rsidRDefault="00D205EF" w:rsidP="00706409">
      <w:pPr>
        <w:spacing w:after="0" w:line="240" w:lineRule="auto"/>
        <w:ind w:left="426" w:hanging="426"/>
        <w:jc w:val="both"/>
        <w:rPr>
          <w:rFonts w:ascii="Arial" w:hAnsi="Arial" w:cs="Arial"/>
          <w:sz w:val="24"/>
          <w:szCs w:val="24"/>
        </w:rPr>
      </w:pPr>
      <w:r w:rsidRPr="00706409">
        <w:rPr>
          <w:rFonts w:ascii="Arial" w:hAnsi="Arial" w:cs="Arial"/>
          <w:sz w:val="24"/>
          <w:szCs w:val="24"/>
        </w:rPr>
        <w:t xml:space="preserve">3.4 In terms of finances, Homes England is currently on track to pay the £37.5m grant by 2022/23 with some £15.26m having been paid in grant to date.  For 2018/19, four grant payments have been made to LCC, the first being £2.49m (in April 2018) in relation to </w:t>
      </w:r>
      <w:proofErr w:type="spellStart"/>
      <w:r w:rsidRPr="00706409">
        <w:rPr>
          <w:rFonts w:ascii="Arial" w:hAnsi="Arial" w:cs="Arial"/>
          <w:sz w:val="24"/>
          <w:szCs w:val="24"/>
        </w:rPr>
        <w:t>Croston</w:t>
      </w:r>
      <w:proofErr w:type="spellEnd"/>
      <w:r w:rsidRPr="00706409">
        <w:rPr>
          <w:rFonts w:ascii="Arial" w:hAnsi="Arial" w:cs="Arial"/>
          <w:sz w:val="24"/>
          <w:szCs w:val="24"/>
        </w:rPr>
        <w:t xml:space="preserve"> Road South, £2m (in August 2018) and £345,692 (overage uplift) in December 2018 paid in relation to Land at </w:t>
      </w:r>
      <w:proofErr w:type="spellStart"/>
      <w:r w:rsidRPr="00706409">
        <w:rPr>
          <w:rFonts w:ascii="Arial" w:hAnsi="Arial" w:cs="Arial"/>
          <w:sz w:val="24"/>
          <w:szCs w:val="24"/>
        </w:rPr>
        <w:t>Eastway</w:t>
      </w:r>
      <w:proofErr w:type="spellEnd"/>
      <w:r w:rsidRPr="00706409">
        <w:rPr>
          <w:rFonts w:ascii="Arial" w:hAnsi="Arial" w:cs="Arial"/>
          <w:sz w:val="24"/>
          <w:szCs w:val="24"/>
        </w:rPr>
        <w:t xml:space="preserve"> (residential).  A final grant payment was made in January 2019 of £448,393 relating to Cottam Hall Phase 2 (Story Homes).  A loan payment of £3.9m was also paid to LCC in August 2018 in relation to Cottam Hall Phase 3 (Morris Homes).</w:t>
      </w:r>
    </w:p>
    <w:p w:rsidR="00706409" w:rsidRPr="00706409" w:rsidRDefault="00F641D9" w:rsidP="00706409">
      <w:pPr>
        <w:tabs>
          <w:tab w:val="left" w:pos="426"/>
        </w:tabs>
        <w:spacing w:after="0" w:line="240" w:lineRule="auto"/>
        <w:jc w:val="both"/>
        <w:rPr>
          <w:rFonts w:ascii="Arial" w:hAnsi="Arial" w:cs="Arial"/>
          <w:b/>
          <w:sz w:val="24"/>
          <w:szCs w:val="24"/>
        </w:rPr>
      </w:pPr>
    </w:p>
    <w:p w:rsidR="00706409" w:rsidRPr="00706409" w:rsidRDefault="00D205EF" w:rsidP="00706409">
      <w:pPr>
        <w:spacing w:after="0" w:line="240" w:lineRule="auto"/>
        <w:jc w:val="both"/>
        <w:rPr>
          <w:rFonts w:ascii="Arial" w:hAnsi="Arial" w:cs="Arial"/>
          <w:b/>
          <w:sz w:val="24"/>
          <w:szCs w:val="24"/>
        </w:rPr>
      </w:pPr>
      <w:r w:rsidRPr="00706409">
        <w:rPr>
          <w:rFonts w:ascii="Arial" w:hAnsi="Arial" w:cs="Arial"/>
          <w:b/>
          <w:sz w:val="24"/>
          <w:szCs w:val="24"/>
        </w:rPr>
        <w:t xml:space="preserve">4.0 Commercial Sites </w:t>
      </w:r>
    </w:p>
    <w:p w:rsidR="00706409" w:rsidRPr="00706409" w:rsidRDefault="00F641D9" w:rsidP="00706409">
      <w:pPr>
        <w:spacing w:after="0" w:line="240" w:lineRule="auto"/>
        <w:ind w:left="360"/>
        <w:contextualSpacing/>
        <w:jc w:val="both"/>
        <w:rPr>
          <w:rFonts w:ascii="Arial" w:hAnsi="Arial" w:cs="Arial"/>
          <w:b/>
          <w:sz w:val="24"/>
          <w:szCs w:val="24"/>
        </w:rPr>
      </w:pPr>
    </w:p>
    <w:p w:rsidR="00706409" w:rsidRPr="00706409" w:rsidRDefault="00D205EF" w:rsidP="00706409">
      <w:pPr>
        <w:spacing w:after="0" w:line="240" w:lineRule="auto"/>
        <w:ind w:left="426" w:hanging="426"/>
        <w:contextualSpacing/>
        <w:jc w:val="both"/>
        <w:rPr>
          <w:rFonts w:ascii="Arial" w:hAnsi="Arial" w:cs="Arial"/>
          <w:sz w:val="24"/>
          <w:szCs w:val="24"/>
        </w:rPr>
      </w:pPr>
      <w:r w:rsidRPr="00706409">
        <w:rPr>
          <w:rFonts w:ascii="Arial" w:hAnsi="Arial" w:cs="Arial"/>
          <w:sz w:val="24"/>
          <w:szCs w:val="24"/>
        </w:rPr>
        <w:t xml:space="preserve">4.1 Commercial </w:t>
      </w:r>
      <w:proofErr w:type="spellStart"/>
      <w:r w:rsidRPr="00706409">
        <w:rPr>
          <w:rFonts w:ascii="Arial" w:hAnsi="Arial" w:cs="Arial"/>
          <w:sz w:val="24"/>
          <w:szCs w:val="24"/>
        </w:rPr>
        <w:t>floorspace</w:t>
      </w:r>
      <w:proofErr w:type="spellEnd"/>
      <w:r w:rsidRPr="00706409">
        <w:rPr>
          <w:rFonts w:ascii="Arial" w:hAnsi="Arial" w:cs="Arial"/>
          <w:sz w:val="24"/>
          <w:szCs w:val="24"/>
        </w:rPr>
        <w:t xml:space="preserve"> completions continue to perform well, especially on existing employment sites where build out has been brought forward for smaller units and car showrooms. </w:t>
      </w:r>
    </w:p>
    <w:p w:rsidR="00706409" w:rsidRPr="00706409" w:rsidRDefault="00F641D9" w:rsidP="00706409">
      <w:pPr>
        <w:spacing w:after="0" w:line="240" w:lineRule="auto"/>
        <w:ind w:left="426" w:hanging="426"/>
        <w:contextualSpacing/>
        <w:jc w:val="both"/>
        <w:rPr>
          <w:rFonts w:ascii="Arial" w:hAnsi="Arial" w:cs="Arial"/>
          <w:sz w:val="24"/>
          <w:szCs w:val="24"/>
        </w:rPr>
      </w:pPr>
    </w:p>
    <w:p w:rsidR="00706409" w:rsidRPr="00706409" w:rsidRDefault="00D205EF" w:rsidP="00706409">
      <w:pPr>
        <w:spacing w:after="0" w:line="240" w:lineRule="auto"/>
        <w:ind w:left="426" w:hanging="426"/>
        <w:contextualSpacing/>
        <w:jc w:val="both"/>
        <w:rPr>
          <w:rFonts w:ascii="Arial" w:hAnsi="Arial" w:cs="Arial"/>
          <w:sz w:val="24"/>
          <w:szCs w:val="24"/>
        </w:rPr>
      </w:pPr>
      <w:r w:rsidRPr="00706409">
        <w:rPr>
          <w:rFonts w:ascii="Arial" w:hAnsi="Arial" w:cs="Arial"/>
          <w:sz w:val="24"/>
          <w:szCs w:val="24"/>
        </w:rPr>
        <w:t xml:space="preserve">4.2 There has been a consistent performance of completions year on year, with a strong pipeline of projects that are currently under construction/in development. </w:t>
      </w:r>
    </w:p>
    <w:p w:rsidR="00706409" w:rsidRPr="00706409" w:rsidRDefault="00F641D9" w:rsidP="00706409">
      <w:pPr>
        <w:spacing w:after="0" w:line="240" w:lineRule="auto"/>
        <w:ind w:left="426" w:hanging="426"/>
        <w:contextualSpacing/>
        <w:jc w:val="both"/>
        <w:rPr>
          <w:rFonts w:ascii="Arial" w:hAnsi="Arial" w:cs="Arial"/>
          <w:sz w:val="24"/>
          <w:szCs w:val="24"/>
        </w:rPr>
      </w:pPr>
    </w:p>
    <w:p w:rsidR="00706409" w:rsidRPr="00706409" w:rsidRDefault="00D205EF" w:rsidP="00706409">
      <w:pPr>
        <w:spacing w:after="0" w:line="240" w:lineRule="auto"/>
        <w:ind w:left="426" w:hanging="426"/>
        <w:contextualSpacing/>
        <w:jc w:val="both"/>
        <w:rPr>
          <w:rFonts w:ascii="Arial" w:hAnsi="Arial" w:cs="Arial"/>
          <w:sz w:val="24"/>
          <w:szCs w:val="24"/>
        </w:rPr>
      </w:pPr>
      <w:r w:rsidRPr="00706409">
        <w:rPr>
          <w:rFonts w:ascii="Arial" w:hAnsi="Arial" w:cs="Arial"/>
          <w:sz w:val="24"/>
          <w:szCs w:val="24"/>
        </w:rPr>
        <w:t xml:space="preserve">4.3 Out of town retail sites are performing well, where car retail showroom developments are proving attractive to the market, with other retail activity continuing on-site at </w:t>
      </w:r>
      <w:proofErr w:type="spellStart"/>
      <w:r w:rsidRPr="00706409">
        <w:rPr>
          <w:rFonts w:ascii="Arial" w:hAnsi="Arial" w:cs="Arial"/>
          <w:sz w:val="24"/>
          <w:szCs w:val="24"/>
        </w:rPr>
        <w:t>Eastway</w:t>
      </w:r>
      <w:proofErr w:type="spellEnd"/>
      <w:r w:rsidRPr="00706409">
        <w:rPr>
          <w:rFonts w:ascii="Arial" w:hAnsi="Arial" w:cs="Arial"/>
          <w:sz w:val="24"/>
          <w:szCs w:val="24"/>
        </w:rPr>
        <w:t xml:space="preserve"> and Queen's Retail Park. Planning consents continue for such uses, with additional demand coming forward for 'energy from </w:t>
      </w:r>
      <w:r w:rsidRPr="00706409">
        <w:rPr>
          <w:rFonts w:ascii="Arial" w:hAnsi="Arial" w:cs="Arial"/>
          <w:sz w:val="24"/>
          <w:szCs w:val="24"/>
        </w:rPr>
        <w:lastRenderedPageBreak/>
        <w:t xml:space="preserve">waste' and recycling schemes and a limited number of occupier-led warehouse distribution schemes. </w:t>
      </w:r>
    </w:p>
    <w:p w:rsidR="00706409" w:rsidRPr="00706409" w:rsidRDefault="00F641D9" w:rsidP="00706409">
      <w:pPr>
        <w:tabs>
          <w:tab w:val="left" w:pos="0"/>
        </w:tabs>
        <w:spacing w:after="0" w:line="240" w:lineRule="auto"/>
        <w:ind w:left="720"/>
        <w:contextualSpacing/>
        <w:jc w:val="both"/>
        <w:rPr>
          <w:rFonts w:ascii="Arial" w:hAnsi="Arial" w:cs="Arial"/>
          <w:sz w:val="24"/>
          <w:szCs w:val="24"/>
        </w:rPr>
      </w:pPr>
    </w:p>
    <w:p w:rsidR="00706409" w:rsidRPr="00706409" w:rsidRDefault="00D205EF" w:rsidP="00706409">
      <w:pPr>
        <w:spacing w:after="0" w:line="240" w:lineRule="auto"/>
        <w:ind w:left="426" w:hanging="426"/>
        <w:contextualSpacing/>
        <w:jc w:val="both"/>
        <w:rPr>
          <w:rFonts w:ascii="Arial" w:hAnsi="Arial" w:cs="Arial"/>
          <w:sz w:val="24"/>
          <w:szCs w:val="24"/>
        </w:rPr>
      </w:pPr>
      <w:r w:rsidRPr="00706409">
        <w:rPr>
          <w:rFonts w:ascii="Arial" w:hAnsi="Arial" w:cs="Arial"/>
          <w:sz w:val="24"/>
          <w:szCs w:val="24"/>
        </w:rPr>
        <w:t xml:space="preserve">4.4 Completions in the immediate term will continue to be concentrated at Preston East employment sites where land is expected to be brought forward for similar smaller unit developments, and possible medium-sized occupier led schemes (albeit for the latter the market remains relatively untested and viability can be an issue  depending </w:t>
      </w:r>
      <w:r w:rsidR="00F641D9">
        <w:rPr>
          <w:rFonts w:ascii="Arial" w:hAnsi="Arial" w:cs="Arial"/>
          <w:sz w:val="24"/>
          <w:szCs w:val="24"/>
        </w:rPr>
        <w:t>upon company covenant strength).</w:t>
      </w:r>
    </w:p>
    <w:p w:rsidR="00706409" w:rsidRPr="00706409" w:rsidRDefault="00F641D9" w:rsidP="00706409">
      <w:pPr>
        <w:spacing w:after="0" w:line="240" w:lineRule="auto"/>
        <w:contextualSpacing/>
        <w:jc w:val="both"/>
        <w:rPr>
          <w:rFonts w:ascii="Arial" w:hAnsi="Arial" w:cs="Arial"/>
          <w:sz w:val="24"/>
          <w:szCs w:val="24"/>
        </w:rPr>
      </w:pPr>
    </w:p>
    <w:p w:rsidR="00706409" w:rsidRPr="00706409" w:rsidRDefault="00D205EF" w:rsidP="00F641D9">
      <w:pPr>
        <w:spacing w:after="0" w:line="240" w:lineRule="auto"/>
        <w:ind w:left="426" w:hanging="426"/>
        <w:contextualSpacing/>
        <w:jc w:val="both"/>
        <w:rPr>
          <w:rFonts w:ascii="Arial" w:hAnsi="Arial" w:cs="Arial"/>
          <w:sz w:val="24"/>
          <w:szCs w:val="24"/>
        </w:rPr>
      </w:pPr>
      <w:r w:rsidRPr="00706409">
        <w:rPr>
          <w:rFonts w:ascii="Arial" w:hAnsi="Arial" w:cs="Arial"/>
          <w:sz w:val="24"/>
          <w:szCs w:val="24"/>
        </w:rPr>
        <w:t>4.5 Demand remains high at key employment sites for, for example, large logistics</w:t>
      </w:r>
      <w:r w:rsidR="00F641D9">
        <w:rPr>
          <w:rFonts w:ascii="Arial" w:hAnsi="Arial" w:cs="Arial"/>
          <w:sz w:val="24"/>
          <w:szCs w:val="24"/>
        </w:rPr>
        <w:t xml:space="preserve"> </w:t>
      </w:r>
      <w:r w:rsidRPr="00706409">
        <w:rPr>
          <w:rFonts w:ascii="Arial" w:hAnsi="Arial" w:cs="Arial"/>
          <w:sz w:val="24"/>
          <w:szCs w:val="24"/>
        </w:rPr>
        <w:t xml:space="preserve">operators and for some strategic local re-locations. Work is ongoing to bring forward large sites including next phase employment land at Preston East and major sites such as Moss Side Test Track, </w:t>
      </w:r>
      <w:proofErr w:type="spellStart"/>
      <w:r w:rsidRPr="00706409">
        <w:rPr>
          <w:rFonts w:ascii="Arial" w:hAnsi="Arial" w:cs="Arial"/>
          <w:sz w:val="24"/>
          <w:szCs w:val="24"/>
        </w:rPr>
        <w:t>Farington</w:t>
      </w:r>
      <w:proofErr w:type="spellEnd"/>
      <w:r w:rsidRPr="00706409">
        <w:rPr>
          <w:rFonts w:ascii="Arial" w:hAnsi="Arial" w:cs="Arial"/>
          <w:sz w:val="24"/>
          <w:szCs w:val="24"/>
        </w:rPr>
        <w:t xml:space="preserve"> Hall Estate and La</w:t>
      </w:r>
      <w:r w:rsidR="00F641D9">
        <w:rPr>
          <w:rFonts w:ascii="Arial" w:hAnsi="Arial" w:cs="Arial"/>
          <w:sz w:val="24"/>
          <w:szCs w:val="24"/>
        </w:rPr>
        <w:t xml:space="preserve">ncashire Central, </w:t>
      </w:r>
      <w:proofErr w:type="spellStart"/>
      <w:r w:rsidR="00F641D9">
        <w:rPr>
          <w:rFonts w:ascii="Arial" w:hAnsi="Arial" w:cs="Arial"/>
          <w:sz w:val="24"/>
          <w:szCs w:val="24"/>
        </w:rPr>
        <w:t>Cuerden</w:t>
      </w:r>
      <w:proofErr w:type="spellEnd"/>
      <w:r w:rsidR="00F641D9">
        <w:rPr>
          <w:rFonts w:ascii="Arial" w:hAnsi="Arial" w:cs="Arial"/>
          <w:sz w:val="24"/>
          <w:szCs w:val="24"/>
        </w:rPr>
        <w:t>.</w:t>
      </w:r>
    </w:p>
    <w:p w:rsidR="00706409" w:rsidRPr="00706409" w:rsidRDefault="00F641D9" w:rsidP="00706409">
      <w:pPr>
        <w:spacing w:after="0" w:line="240" w:lineRule="auto"/>
        <w:ind w:left="720"/>
        <w:contextualSpacing/>
        <w:rPr>
          <w:rFonts w:ascii="Arial" w:hAnsi="Arial" w:cs="Arial"/>
          <w:sz w:val="24"/>
          <w:szCs w:val="24"/>
        </w:rPr>
      </w:pPr>
    </w:p>
    <w:p w:rsidR="00706409" w:rsidRPr="00706409" w:rsidRDefault="00D205EF" w:rsidP="00706409">
      <w:pPr>
        <w:spacing w:after="0" w:line="240" w:lineRule="auto"/>
        <w:jc w:val="both"/>
        <w:rPr>
          <w:rFonts w:ascii="Arial" w:hAnsi="Arial" w:cs="Arial"/>
          <w:b/>
          <w:sz w:val="24"/>
          <w:szCs w:val="24"/>
        </w:rPr>
      </w:pPr>
      <w:r w:rsidRPr="00706409">
        <w:rPr>
          <w:rFonts w:ascii="Arial" w:hAnsi="Arial" w:cs="Arial"/>
          <w:b/>
          <w:sz w:val="24"/>
          <w:szCs w:val="24"/>
        </w:rPr>
        <w:t xml:space="preserve">Commercial </w:t>
      </w:r>
      <w:proofErr w:type="spellStart"/>
      <w:r w:rsidRPr="00706409">
        <w:rPr>
          <w:rFonts w:ascii="Arial" w:hAnsi="Arial" w:cs="Arial"/>
          <w:b/>
          <w:sz w:val="24"/>
          <w:szCs w:val="24"/>
        </w:rPr>
        <w:t>floorspace</w:t>
      </w:r>
      <w:proofErr w:type="spellEnd"/>
      <w:r w:rsidRPr="00706409">
        <w:rPr>
          <w:rFonts w:ascii="Arial" w:hAnsi="Arial" w:cs="Arial"/>
          <w:b/>
          <w:sz w:val="24"/>
          <w:szCs w:val="24"/>
        </w:rPr>
        <w:t xml:space="preserve"> Completions </w:t>
      </w:r>
    </w:p>
    <w:p w:rsidR="00706409" w:rsidRPr="00706409" w:rsidRDefault="00F641D9" w:rsidP="00706409">
      <w:pPr>
        <w:spacing w:after="0" w:line="240" w:lineRule="auto"/>
        <w:jc w:val="both"/>
        <w:rPr>
          <w:rFonts w:ascii="Arial" w:hAnsi="Arial" w:cs="Arial"/>
          <w:b/>
          <w:sz w:val="24"/>
          <w:szCs w:val="24"/>
        </w:rPr>
      </w:pPr>
    </w:p>
    <w:p w:rsidR="00706409" w:rsidRPr="00706409" w:rsidRDefault="00D205EF" w:rsidP="00706409">
      <w:pPr>
        <w:spacing w:after="0" w:line="240" w:lineRule="auto"/>
        <w:ind w:left="426" w:hanging="426"/>
        <w:jc w:val="both"/>
        <w:rPr>
          <w:rFonts w:ascii="Arial" w:hAnsi="Arial" w:cs="Arial"/>
          <w:sz w:val="24"/>
          <w:szCs w:val="24"/>
        </w:rPr>
      </w:pPr>
      <w:r w:rsidRPr="00706409">
        <w:rPr>
          <w:rFonts w:ascii="Arial" w:hAnsi="Arial" w:cs="Arial"/>
          <w:sz w:val="24"/>
          <w:szCs w:val="24"/>
        </w:rPr>
        <w:t xml:space="preserve">4.6 There has been a relatively consistent performance of completions year on year with </w:t>
      </w:r>
      <w:r w:rsidRPr="00706409">
        <w:rPr>
          <w:rFonts w:ascii="Arial" w:hAnsi="Arial" w:cs="Arial"/>
          <w:b/>
          <w:sz w:val="24"/>
          <w:szCs w:val="24"/>
        </w:rPr>
        <w:t xml:space="preserve">8,321.5 </w:t>
      </w:r>
      <w:proofErr w:type="spellStart"/>
      <w:r w:rsidRPr="00706409">
        <w:rPr>
          <w:rFonts w:ascii="Arial" w:hAnsi="Arial" w:cs="Arial"/>
          <w:b/>
          <w:sz w:val="24"/>
          <w:szCs w:val="24"/>
        </w:rPr>
        <w:t>sq</w:t>
      </w:r>
      <w:proofErr w:type="spellEnd"/>
      <w:r w:rsidRPr="00706409">
        <w:rPr>
          <w:rFonts w:ascii="Arial" w:hAnsi="Arial" w:cs="Arial"/>
          <w:b/>
          <w:sz w:val="24"/>
          <w:szCs w:val="24"/>
        </w:rPr>
        <w:t xml:space="preserve"> m</w:t>
      </w:r>
      <w:r w:rsidRPr="00706409">
        <w:rPr>
          <w:rFonts w:ascii="Arial" w:hAnsi="Arial" w:cs="Arial"/>
          <w:sz w:val="24"/>
          <w:szCs w:val="24"/>
        </w:rPr>
        <w:t xml:space="preserve"> of completions in 2018/19. This compares with an in year trajectory of </w:t>
      </w:r>
      <w:r w:rsidRPr="00706409">
        <w:rPr>
          <w:rFonts w:ascii="Arial" w:hAnsi="Arial" w:cs="Arial"/>
          <w:b/>
          <w:sz w:val="24"/>
          <w:szCs w:val="24"/>
        </w:rPr>
        <w:t xml:space="preserve">15,745 </w:t>
      </w:r>
      <w:proofErr w:type="spellStart"/>
      <w:r w:rsidRPr="00706409">
        <w:rPr>
          <w:rFonts w:ascii="Arial" w:hAnsi="Arial" w:cs="Arial"/>
          <w:b/>
          <w:sz w:val="24"/>
          <w:szCs w:val="24"/>
        </w:rPr>
        <w:t>sq</w:t>
      </w:r>
      <w:proofErr w:type="spellEnd"/>
      <w:r w:rsidRPr="00706409">
        <w:rPr>
          <w:rFonts w:ascii="Arial" w:hAnsi="Arial" w:cs="Arial"/>
          <w:b/>
          <w:sz w:val="24"/>
          <w:szCs w:val="24"/>
        </w:rPr>
        <w:t xml:space="preserve"> m</w:t>
      </w:r>
      <w:r w:rsidRPr="00706409">
        <w:rPr>
          <w:rFonts w:ascii="Arial" w:hAnsi="Arial" w:cs="Arial"/>
          <w:sz w:val="24"/>
          <w:szCs w:val="24"/>
        </w:rPr>
        <w:t xml:space="preserve">, which has not been met due to a slight delay to the practical completion of </w:t>
      </w:r>
      <w:proofErr w:type="spellStart"/>
      <w:r w:rsidRPr="00706409">
        <w:rPr>
          <w:rFonts w:ascii="Arial" w:hAnsi="Arial" w:cs="Arial"/>
          <w:sz w:val="24"/>
          <w:szCs w:val="24"/>
        </w:rPr>
        <w:t>UCLan's</w:t>
      </w:r>
      <w:proofErr w:type="spellEnd"/>
      <w:r w:rsidRPr="00706409">
        <w:rPr>
          <w:rFonts w:ascii="Arial" w:hAnsi="Arial" w:cs="Arial"/>
          <w:sz w:val="24"/>
          <w:szCs w:val="24"/>
        </w:rPr>
        <w:t xml:space="preserve"> Engineering Innovation Centre, which otherwise would have resulted in the target being met. Cumulative performance on completions is measured against the </w:t>
      </w:r>
      <w:proofErr w:type="spellStart"/>
      <w:r w:rsidRPr="00706409">
        <w:rPr>
          <w:rFonts w:ascii="Arial" w:hAnsi="Arial" w:cs="Arial"/>
          <w:sz w:val="24"/>
          <w:szCs w:val="24"/>
        </w:rPr>
        <w:t>Keppie</w:t>
      </w:r>
      <w:proofErr w:type="spellEnd"/>
      <w:r w:rsidRPr="00706409">
        <w:rPr>
          <w:rFonts w:ascii="Arial" w:hAnsi="Arial" w:cs="Arial"/>
          <w:sz w:val="24"/>
          <w:szCs w:val="24"/>
        </w:rPr>
        <w:t xml:space="preserve"> Massie baseline target set in 2016.  This shows that completions are less than predicted by -46,321.5 </w:t>
      </w:r>
      <w:proofErr w:type="spellStart"/>
      <w:r w:rsidRPr="00706409">
        <w:rPr>
          <w:rFonts w:ascii="Arial" w:hAnsi="Arial" w:cs="Arial"/>
          <w:sz w:val="24"/>
          <w:szCs w:val="24"/>
        </w:rPr>
        <w:t>sq</w:t>
      </w:r>
      <w:proofErr w:type="spellEnd"/>
      <w:r w:rsidRPr="00706409">
        <w:rPr>
          <w:rFonts w:ascii="Arial" w:hAnsi="Arial" w:cs="Arial"/>
          <w:sz w:val="24"/>
          <w:szCs w:val="24"/>
        </w:rPr>
        <w:t xml:space="preserve"> m.  This is due to slower than anticipated build out on some mixed use/retail sites in North West Preston and also at </w:t>
      </w:r>
      <w:proofErr w:type="spellStart"/>
      <w:r w:rsidRPr="00706409">
        <w:rPr>
          <w:rFonts w:ascii="Arial" w:hAnsi="Arial" w:cs="Arial"/>
          <w:sz w:val="24"/>
          <w:szCs w:val="24"/>
        </w:rPr>
        <w:t>Cuerden</w:t>
      </w:r>
      <w:proofErr w:type="spellEnd"/>
      <w:r w:rsidRPr="00706409">
        <w:rPr>
          <w:rFonts w:ascii="Arial" w:hAnsi="Arial" w:cs="Arial"/>
          <w:sz w:val="24"/>
          <w:szCs w:val="24"/>
        </w:rPr>
        <w:t>.</w:t>
      </w:r>
    </w:p>
    <w:p w:rsidR="00706409" w:rsidRPr="00706409" w:rsidRDefault="00F641D9" w:rsidP="00706409">
      <w:pPr>
        <w:spacing w:after="0" w:line="240" w:lineRule="auto"/>
        <w:ind w:left="426" w:hanging="426"/>
        <w:jc w:val="both"/>
        <w:rPr>
          <w:rFonts w:ascii="Arial" w:hAnsi="Arial" w:cs="Arial"/>
          <w:sz w:val="24"/>
          <w:szCs w:val="24"/>
        </w:rPr>
      </w:pPr>
    </w:p>
    <w:p w:rsidR="00706409" w:rsidRPr="00706409" w:rsidRDefault="00D205EF" w:rsidP="00706409">
      <w:pPr>
        <w:spacing w:after="0" w:line="240" w:lineRule="auto"/>
        <w:jc w:val="both"/>
        <w:rPr>
          <w:rFonts w:ascii="Arial" w:hAnsi="Arial" w:cs="Arial"/>
          <w:b/>
          <w:sz w:val="24"/>
          <w:szCs w:val="24"/>
        </w:rPr>
      </w:pPr>
      <w:r w:rsidRPr="00706409">
        <w:rPr>
          <w:rFonts w:ascii="Arial" w:hAnsi="Arial" w:cs="Arial"/>
          <w:b/>
          <w:sz w:val="24"/>
          <w:szCs w:val="24"/>
        </w:rPr>
        <w:t xml:space="preserve">Submissions/Consents  </w:t>
      </w:r>
    </w:p>
    <w:p w:rsidR="00706409" w:rsidRPr="00706409" w:rsidRDefault="00F641D9" w:rsidP="00706409">
      <w:pPr>
        <w:spacing w:after="0" w:line="240" w:lineRule="auto"/>
        <w:jc w:val="both"/>
        <w:rPr>
          <w:rFonts w:ascii="Arial" w:hAnsi="Arial" w:cs="Arial"/>
          <w:b/>
          <w:sz w:val="24"/>
          <w:szCs w:val="24"/>
        </w:rPr>
      </w:pPr>
    </w:p>
    <w:p w:rsidR="00706409" w:rsidRPr="00706409" w:rsidRDefault="00D205EF" w:rsidP="00706409">
      <w:pPr>
        <w:spacing w:after="0" w:line="240" w:lineRule="auto"/>
        <w:ind w:left="426" w:hanging="426"/>
        <w:jc w:val="both"/>
        <w:rPr>
          <w:rFonts w:ascii="Arial" w:hAnsi="Arial" w:cs="Arial"/>
          <w:sz w:val="24"/>
          <w:szCs w:val="24"/>
        </w:rPr>
      </w:pPr>
      <w:r w:rsidRPr="00706409">
        <w:rPr>
          <w:rFonts w:ascii="Arial" w:hAnsi="Arial" w:cs="Arial"/>
          <w:sz w:val="24"/>
          <w:szCs w:val="24"/>
        </w:rPr>
        <w:t xml:space="preserve">4.7 In total, </w:t>
      </w:r>
      <w:r w:rsidRPr="00706409">
        <w:rPr>
          <w:rFonts w:ascii="Arial" w:hAnsi="Arial" w:cs="Arial"/>
          <w:b/>
          <w:sz w:val="24"/>
          <w:szCs w:val="24"/>
        </w:rPr>
        <w:t xml:space="preserve">47,182 </w:t>
      </w:r>
      <w:proofErr w:type="spellStart"/>
      <w:r w:rsidRPr="00706409">
        <w:rPr>
          <w:rFonts w:ascii="Arial" w:hAnsi="Arial" w:cs="Arial"/>
          <w:b/>
          <w:sz w:val="24"/>
          <w:szCs w:val="24"/>
        </w:rPr>
        <w:t>sq</w:t>
      </w:r>
      <w:proofErr w:type="spellEnd"/>
      <w:r w:rsidRPr="00706409">
        <w:rPr>
          <w:rFonts w:ascii="Arial" w:hAnsi="Arial" w:cs="Arial"/>
          <w:b/>
          <w:sz w:val="24"/>
          <w:szCs w:val="24"/>
        </w:rPr>
        <w:t xml:space="preserve"> m</w:t>
      </w:r>
      <w:r w:rsidRPr="00706409">
        <w:rPr>
          <w:rFonts w:ascii="Arial" w:hAnsi="Arial" w:cs="Arial"/>
          <w:sz w:val="24"/>
          <w:szCs w:val="24"/>
        </w:rPr>
        <w:t xml:space="preserve"> of commercial </w:t>
      </w:r>
      <w:proofErr w:type="spellStart"/>
      <w:r w:rsidRPr="00706409">
        <w:rPr>
          <w:rFonts w:ascii="Arial" w:hAnsi="Arial" w:cs="Arial"/>
          <w:sz w:val="24"/>
          <w:szCs w:val="24"/>
        </w:rPr>
        <w:t>floorspace</w:t>
      </w:r>
      <w:proofErr w:type="spellEnd"/>
      <w:r w:rsidRPr="00706409">
        <w:rPr>
          <w:rFonts w:ascii="Arial" w:hAnsi="Arial" w:cs="Arial"/>
          <w:sz w:val="24"/>
          <w:szCs w:val="24"/>
        </w:rPr>
        <w:t xml:space="preserve"> was </w:t>
      </w:r>
      <w:r w:rsidRPr="00706409">
        <w:rPr>
          <w:rFonts w:ascii="Arial" w:hAnsi="Arial" w:cs="Arial"/>
          <w:b/>
          <w:sz w:val="24"/>
          <w:szCs w:val="24"/>
        </w:rPr>
        <w:t>submitted</w:t>
      </w:r>
      <w:r w:rsidRPr="00706409">
        <w:rPr>
          <w:rFonts w:ascii="Arial" w:hAnsi="Arial" w:cs="Arial"/>
          <w:sz w:val="24"/>
          <w:szCs w:val="24"/>
        </w:rPr>
        <w:t xml:space="preserve"> for planning and a total of </w:t>
      </w:r>
      <w:r w:rsidRPr="00706409">
        <w:rPr>
          <w:rFonts w:ascii="Arial" w:hAnsi="Arial" w:cs="Arial"/>
          <w:b/>
          <w:sz w:val="24"/>
          <w:szCs w:val="24"/>
        </w:rPr>
        <w:t xml:space="preserve">42,829 </w:t>
      </w:r>
      <w:proofErr w:type="spellStart"/>
      <w:r w:rsidRPr="00706409">
        <w:rPr>
          <w:rFonts w:ascii="Arial" w:hAnsi="Arial" w:cs="Arial"/>
          <w:b/>
          <w:sz w:val="24"/>
          <w:szCs w:val="24"/>
        </w:rPr>
        <w:t>sq</w:t>
      </w:r>
      <w:proofErr w:type="spellEnd"/>
      <w:r w:rsidRPr="00706409">
        <w:rPr>
          <w:rFonts w:ascii="Arial" w:hAnsi="Arial" w:cs="Arial"/>
          <w:b/>
          <w:sz w:val="24"/>
          <w:szCs w:val="24"/>
        </w:rPr>
        <w:t xml:space="preserve"> m</w:t>
      </w:r>
      <w:r w:rsidRPr="00706409">
        <w:rPr>
          <w:rFonts w:ascii="Arial" w:hAnsi="Arial" w:cs="Arial"/>
          <w:sz w:val="24"/>
          <w:szCs w:val="24"/>
        </w:rPr>
        <w:t xml:space="preserve"> of commercial </w:t>
      </w:r>
      <w:proofErr w:type="spellStart"/>
      <w:r w:rsidRPr="00706409">
        <w:rPr>
          <w:rFonts w:ascii="Arial" w:hAnsi="Arial" w:cs="Arial"/>
          <w:sz w:val="24"/>
          <w:szCs w:val="24"/>
        </w:rPr>
        <w:t>floorspace</w:t>
      </w:r>
      <w:proofErr w:type="spellEnd"/>
      <w:r w:rsidRPr="00706409">
        <w:rPr>
          <w:rFonts w:ascii="Arial" w:hAnsi="Arial" w:cs="Arial"/>
          <w:sz w:val="24"/>
          <w:szCs w:val="24"/>
        </w:rPr>
        <w:t xml:space="preserve"> was consented. Both compare favourably with the </w:t>
      </w:r>
      <w:proofErr w:type="spellStart"/>
      <w:r w:rsidRPr="00706409">
        <w:rPr>
          <w:rFonts w:ascii="Arial" w:hAnsi="Arial" w:cs="Arial"/>
          <w:sz w:val="24"/>
          <w:szCs w:val="24"/>
        </w:rPr>
        <w:t>in</w:t>
      </w:r>
      <w:proofErr w:type="spellEnd"/>
      <w:r w:rsidRPr="00706409">
        <w:rPr>
          <w:rFonts w:ascii="Arial" w:hAnsi="Arial" w:cs="Arial"/>
          <w:sz w:val="24"/>
          <w:szCs w:val="24"/>
        </w:rPr>
        <w:t xml:space="preserve"> year trajectory of </w:t>
      </w:r>
      <w:r w:rsidRPr="00706409">
        <w:rPr>
          <w:rFonts w:ascii="Arial" w:hAnsi="Arial" w:cs="Arial"/>
          <w:b/>
          <w:sz w:val="24"/>
          <w:szCs w:val="24"/>
        </w:rPr>
        <w:t xml:space="preserve">16,069 </w:t>
      </w:r>
      <w:proofErr w:type="spellStart"/>
      <w:r w:rsidRPr="00706409">
        <w:rPr>
          <w:rFonts w:ascii="Arial" w:hAnsi="Arial" w:cs="Arial"/>
          <w:b/>
          <w:sz w:val="24"/>
          <w:szCs w:val="24"/>
        </w:rPr>
        <w:t>sq</w:t>
      </w:r>
      <w:proofErr w:type="spellEnd"/>
      <w:r w:rsidRPr="00706409">
        <w:rPr>
          <w:rFonts w:ascii="Arial" w:hAnsi="Arial" w:cs="Arial"/>
          <w:b/>
          <w:sz w:val="24"/>
          <w:szCs w:val="24"/>
        </w:rPr>
        <w:t xml:space="preserve"> m </w:t>
      </w:r>
      <w:r w:rsidRPr="00706409">
        <w:rPr>
          <w:rFonts w:ascii="Arial" w:hAnsi="Arial" w:cs="Arial"/>
          <w:sz w:val="24"/>
          <w:szCs w:val="24"/>
        </w:rPr>
        <w:t xml:space="preserve">demonstrating an encouraging market outlook with pipeline development at </w:t>
      </w:r>
      <w:proofErr w:type="spellStart"/>
      <w:r w:rsidRPr="00706409">
        <w:rPr>
          <w:rFonts w:ascii="Arial" w:hAnsi="Arial" w:cs="Arial"/>
          <w:sz w:val="24"/>
          <w:szCs w:val="24"/>
        </w:rPr>
        <w:t>Samlesbury</w:t>
      </w:r>
      <w:proofErr w:type="spellEnd"/>
      <w:r w:rsidRPr="00706409">
        <w:rPr>
          <w:rFonts w:ascii="Arial" w:hAnsi="Arial" w:cs="Arial"/>
          <w:sz w:val="24"/>
          <w:szCs w:val="24"/>
        </w:rPr>
        <w:t xml:space="preserve"> Aerospace Enterprise Zone and city centre leisure schemes coming forward.  </w:t>
      </w:r>
    </w:p>
    <w:p w:rsidR="00706409" w:rsidRDefault="00F641D9" w:rsidP="00706409">
      <w:pPr>
        <w:spacing w:after="0" w:line="240" w:lineRule="auto"/>
        <w:ind w:left="426" w:hanging="426"/>
        <w:jc w:val="both"/>
        <w:rPr>
          <w:rFonts w:ascii="Arial" w:hAnsi="Arial" w:cs="Arial"/>
          <w:b/>
          <w:sz w:val="24"/>
          <w:szCs w:val="24"/>
        </w:rPr>
      </w:pPr>
    </w:p>
    <w:p w:rsidR="00612BC9" w:rsidRDefault="00612BC9" w:rsidP="00706409">
      <w:pPr>
        <w:spacing w:after="0" w:line="240" w:lineRule="auto"/>
        <w:ind w:left="426" w:hanging="426"/>
        <w:jc w:val="both"/>
        <w:rPr>
          <w:rFonts w:ascii="Arial" w:hAnsi="Arial" w:cs="Arial"/>
          <w:b/>
          <w:sz w:val="24"/>
          <w:szCs w:val="24"/>
        </w:rPr>
      </w:pPr>
    </w:p>
    <w:p w:rsidR="00612BC9" w:rsidRDefault="00612BC9" w:rsidP="00706409">
      <w:pPr>
        <w:spacing w:after="0" w:line="240" w:lineRule="auto"/>
        <w:ind w:left="426" w:hanging="426"/>
        <w:jc w:val="both"/>
        <w:rPr>
          <w:rFonts w:ascii="Arial" w:hAnsi="Arial" w:cs="Arial"/>
          <w:b/>
          <w:sz w:val="24"/>
          <w:szCs w:val="24"/>
        </w:rPr>
      </w:pPr>
    </w:p>
    <w:p w:rsidR="00612BC9" w:rsidRDefault="00612BC9" w:rsidP="00706409">
      <w:pPr>
        <w:spacing w:after="0" w:line="240" w:lineRule="auto"/>
        <w:ind w:left="426" w:hanging="426"/>
        <w:jc w:val="both"/>
        <w:rPr>
          <w:rFonts w:ascii="Arial" w:hAnsi="Arial" w:cs="Arial"/>
          <w:b/>
          <w:sz w:val="24"/>
          <w:szCs w:val="24"/>
        </w:rPr>
      </w:pPr>
    </w:p>
    <w:p w:rsidR="00612BC9" w:rsidRDefault="00612BC9" w:rsidP="00706409">
      <w:pPr>
        <w:spacing w:after="0" w:line="240" w:lineRule="auto"/>
        <w:ind w:left="426" w:hanging="426"/>
        <w:jc w:val="both"/>
        <w:rPr>
          <w:rFonts w:ascii="Arial" w:hAnsi="Arial" w:cs="Arial"/>
          <w:b/>
          <w:sz w:val="24"/>
          <w:szCs w:val="24"/>
        </w:rPr>
      </w:pPr>
    </w:p>
    <w:p w:rsidR="00612BC9" w:rsidRDefault="00612BC9" w:rsidP="00706409">
      <w:pPr>
        <w:spacing w:after="0" w:line="240" w:lineRule="auto"/>
        <w:ind w:left="426" w:hanging="426"/>
        <w:jc w:val="both"/>
        <w:rPr>
          <w:rFonts w:ascii="Arial" w:hAnsi="Arial" w:cs="Arial"/>
          <w:b/>
          <w:sz w:val="24"/>
          <w:szCs w:val="24"/>
        </w:rPr>
      </w:pPr>
    </w:p>
    <w:p w:rsidR="00612BC9" w:rsidRDefault="00612BC9" w:rsidP="00706409">
      <w:pPr>
        <w:spacing w:after="0" w:line="240" w:lineRule="auto"/>
        <w:ind w:left="426" w:hanging="426"/>
        <w:jc w:val="both"/>
        <w:rPr>
          <w:rFonts w:ascii="Arial" w:hAnsi="Arial" w:cs="Arial"/>
          <w:b/>
          <w:sz w:val="24"/>
          <w:szCs w:val="24"/>
        </w:rPr>
      </w:pPr>
    </w:p>
    <w:p w:rsidR="00612BC9" w:rsidRDefault="00612BC9" w:rsidP="00706409">
      <w:pPr>
        <w:spacing w:after="0" w:line="240" w:lineRule="auto"/>
        <w:ind w:left="426" w:hanging="426"/>
        <w:jc w:val="both"/>
        <w:rPr>
          <w:rFonts w:ascii="Arial" w:hAnsi="Arial" w:cs="Arial"/>
          <w:b/>
          <w:sz w:val="24"/>
          <w:szCs w:val="24"/>
        </w:rPr>
      </w:pPr>
    </w:p>
    <w:p w:rsidR="00612BC9" w:rsidRDefault="00612BC9" w:rsidP="00706409">
      <w:pPr>
        <w:spacing w:after="0" w:line="240" w:lineRule="auto"/>
        <w:ind w:left="426" w:hanging="426"/>
        <w:jc w:val="both"/>
        <w:rPr>
          <w:rFonts w:ascii="Arial" w:hAnsi="Arial" w:cs="Arial"/>
          <w:b/>
          <w:sz w:val="24"/>
          <w:szCs w:val="24"/>
        </w:rPr>
      </w:pPr>
    </w:p>
    <w:p w:rsidR="00612BC9" w:rsidRDefault="00612BC9" w:rsidP="00706409">
      <w:pPr>
        <w:spacing w:after="0" w:line="240" w:lineRule="auto"/>
        <w:ind w:left="426" w:hanging="426"/>
        <w:jc w:val="both"/>
        <w:rPr>
          <w:rFonts w:ascii="Arial" w:hAnsi="Arial" w:cs="Arial"/>
          <w:b/>
          <w:sz w:val="24"/>
          <w:szCs w:val="24"/>
        </w:rPr>
      </w:pPr>
    </w:p>
    <w:p w:rsidR="00612BC9" w:rsidRDefault="00612BC9" w:rsidP="00706409">
      <w:pPr>
        <w:spacing w:after="0" w:line="240" w:lineRule="auto"/>
        <w:ind w:left="426" w:hanging="426"/>
        <w:jc w:val="both"/>
        <w:rPr>
          <w:rFonts w:ascii="Arial" w:hAnsi="Arial" w:cs="Arial"/>
          <w:b/>
          <w:sz w:val="24"/>
          <w:szCs w:val="24"/>
        </w:rPr>
      </w:pPr>
    </w:p>
    <w:p w:rsidR="00612BC9" w:rsidRDefault="00612BC9" w:rsidP="00706409">
      <w:pPr>
        <w:spacing w:after="0" w:line="240" w:lineRule="auto"/>
        <w:ind w:left="426" w:hanging="426"/>
        <w:jc w:val="both"/>
        <w:rPr>
          <w:rFonts w:ascii="Arial" w:hAnsi="Arial" w:cs="Arial"/>
          <w:b/>
          <w:sz w:val="24"/>
          <w:szCs w:val="24"/>
        </w:rPr>
      </w:pPr>
    </w:p>
    <w:p w:rsidR="00612BC9" w:rsidRPr="00706409" w:rsidRDefault="00612BC9" w:rsidP="00706409">
      <w:pPr>
        <w:spacing w:after="0" w:line="240" w:lineRule="auto"/>
        <w:ind w:left="426" w:hanging="426"/>
        <w:jc w:val="both"/>
        <w:rPr>
          <w:rFonts w:ascii="Arial" w:hAnsi="Arial" w:cs="Arial"/>
          <w:sz w:val="24"/>
          <w:szCs w:val="24"/>
        </w:rPr>
      </w:pPr>
    </w:p>
    <w:p w:rsidR="00706409" w:rsidRPr="00706409" w:rsidRDefault="00D205EF" w:rsidP="00706409">
      <w:pPr>
        <w:spacing w:after="0" w:line="240" w:lineRule="auto"/>
        <w:jc w:val="both"/>
        <w:rPr>
          <w:rFonts w:ascii="Arial" w:hAnsi="Arial" w:cs="Arial"/>
          <w:b/>
          <w:sz w:val="24"/>
          <w:szCs w:val="24"/>
          <w:u w:val="single"/>
        </w:rPr>
      </w:pPr>
      <w:r w:rsidRPr="00706409">
        <w:rPr>
          <w:rFonts w:ascii="Arial" w:hAnsi="Arial" w:cs="Arial"/>
          <w:b/>
          <w:sz w:val="24"/>
          <w:szCs w:val="24"/>
          <w:u w:val="single"/>
        </w:rPr>
        <w:lastRenderedPageBreak/>
        <w:t xml:space="preserve">Table 3:  commercial </w:t>
      </w:r>
      <w:proofErr w:type="spellStart"/>
      <w:r w:rsidRPr="00706409">
        <w:rPr>
          <w:rFonts w:ascii="Arial" w:hAnsi="Arial" w:cs="Arial"/>
          <w:b/>
          <w:sz w:val="24"/>
          <w:szCs w:val="24"/>
          <w:u w:val="single"/>
        </w:rPr>
        <w:t>floorspace</w:t>
      </w:r>
      <w:proofErr w:type="spellEnd"/>
      <w:r w:rsidRPr="00706409">
        <w:rPr>
          <w:rFonts w:ascii="Arial" w:hAnsi="Arial" w:cs="Arial"/>
          <w:b/>
          <w:sz w:val="24"/>
          <w:szCs w:val="24"/>
          <w:u w:val="single"/>
        </w:rPr>
        <w:t xml:space="preserve"> – core and supporting outputs</w:t>
      </w:r>
    </w:p>
    <w:p w:rsidR="00706409" w:rsidRPr="00706409" w:rsidRDefault="00F641D9" w:rsidP="00706409">
      <w:pPr>
        <w:spacing w:after="0" w:line="240" w:lineRule="auto"/>
        <w:ind w:left="284"/>
        <w:jc w:val="both"/>
        <w:rPr>
          <w:rFonts w:ascii="Arial" w:hAnsi="Arial" w:cs="Arial"/>
          <w:b/>
          <w:sz w:val="24"/>
          <w:szCs w:val="24"/>
        </w:rPr>
      </w:pPr>
    </w:p>
    <w:tbl>
      <w:tblPr>
        <w:tblStyle w:val="TableGrid1"/>
        <w:tblW w:w="5000" w:type="pct"/>
        <w:tblLayout w:type="fixed"/>
        <w:tblLook w:val="04A0" w:firstRow="1" w:lastRow="0" w:firstColumn="1" w:lastColumn="0" w:noHBand="0" w:noVBand="1"/>
      </w:tblPr>
      <w:tblGrid>
        <w:gridCol w:w="2098"/>
        <w:gridCol w:w="1367"/>
        <w:gridCol w:w="1276"/>
        <w:gridCol w:w="1425"/>
        <w:gridCol w:w="1425"/>
        <w:gridCol w:w="1425"/>
      </w:tblGrid>
      <w:tr w:rsidR="00DB20DF" w:rsidTr="00D30CB8">
        <w:tc>
          <w:tcPr>
            <w:tcW w:w="2511" w:type="dxa"/>
            <w:tcBorders>
              <w:top w:val="single" w:sz="4" w:space="0" w:color="auto"/>
              <w:left w:val="single" w:sz="4" w:space="0" w:color="auto"/>
              <w:bottom w:val="single" w:sz="4" w:space="0" w:color="auto"/>
              <w:right w:val="single" w:sz="4" w:space="0" w:color="auto"/>
            </w:tcBorders>
            <w:hideMark/>
          </w:tcPr>
          <w:p w:rsidR="00706409" w:rsidRPr="00706409" w:rsidRDefault="00D205EF" w:rsidP="00706409">
            <w:pPr>
              <w:rPr>
                <w:rFonts w:ascii="Arial" w:hAnsi="Arial" w:cs="Arial"/>
                <w:b/>
                <w:sz w:val="24"/>
                <w:szCs w:val="24"/>
              </w:rPr>
            </w:pPr>
            <w:r w:rsidRPr="00706409">
              <w:rPr>
                <w:rFonts w:ascii="Arial" w:hAnsi="Arial" w:cs="Arial"/>
                <w:b/>
                <w:sz w:val="24"/>
                <w:szCs w:val="24"/>
              </w:rPr>
              <w:t>Core  and supporting outputs</w:t>
            </w:r>
          </w:p>
        </w:tc>
        <w:tc>
          <w:tcPr>
            <w:tcW w:w="1618" w:type="dxa"/>
            <w:tcBorders>
              <w:top w:val="single" w:sz="4" w:space="0" w:color="auto"/>
              <w:left w:val="single" w:sz="4" w:space="0" w:color="auto"/>
              <w:bottom w:val="single" w:sz="4" w:space="0" w:color="auto"/>
              <w:right w:val="single" w:sz="4" w:space="0" w:color="auto"/>
            </w:tcBorders>
            <w:hideMark/>
          </w:tcPr>
          <w:p w:rsidR="00706409" w:rsidRPr="00706409" w:rsidRDefault="00D205EF" w:rsidP="00706409">
            <w:pPr>
              <w:jc w:val="center"/>
              <w:rPr>
                <w:rFonts w:ascii="Arial" w:hAnsi="Arial" w:cs="Arial"/>
                <w:b/>
              </w:rPr>
            </w:pPr>
            <w:r w:rsidRPr="00706409">
              <w:rPr>
                <w:rFonts w:ascii="Arial" w:hAnsi="Arial" w:cs="Arial"/>
                <w:b/>
              </w:rPr>
              <w:t>2018/19 Trajectory</w:t>
            </w:r>
          </w:p>
          <w:p w:rsidR="00706409" w:rsidRPr="00706409" w:rsidRDefault="00D205EF" w:rsidP="00706409">
            <w:pPr>
              <w:jc w:val="center"/>
              <w:rPr>
                <w:rFonts w:ascii="Arial" w:hAnsi="Arial" w:cs="Arial"/>
                <w:b/>
              </w:rPr>
            </w:pPr>
            <w:r w:rsidRPr="00706409">
              <w:rPr>
                <w:rFonts w:ascii="Arial" w:hAnsi="Arial" w:cs="Arial"/>
                <w:b/>
              </w:rPr>
              <w:t>(</w:t>
            </w:r>
            <w:proofErr w:type="spellStart"/>
            <w:r w:rsidRPr="00706409">
              <w:rPr>
                <w:rFonts w:ascii="Arial" w:hAnsi="Arial" w:cs="Arial"/>
                <w:b/>
              </w:rPr>
              <w:t>sq</w:t>
            </w:r>
            <w:proofErr w:type="spellEnd"/>
            <w:r w:rsidRPr="00706409">
              <w:rPr>
                <w:rFonts w:ascii="Arial" w:hAnsi="Arial" w:cs="Arial"/>
                <w:b/>
              </w:rPr>
              <w:t xml:space="preserve"> m)</w:t>
            </w:r>
          </w:p>
        </w:tc>
        <w:tc>
          <w:tcPr>
            <w:tcW w:w="1507" w:type="dxa"/>
            <w:tcBorders>
              <w:top w:val="single" w:sz="4" w:space="0" w:color="auto"/>
              <w:left w:val="single" w:sz="4" w:space="0" w:color="auto"/>
              <w:bottom w:val="single" w:sz="4" w:space="0" w:color="auto"/>
              <w:right w:val="single" w:sz="4" w:space="0" w:color="auto"/>
            </w:tcBorders>
            <w:hideMark/>
          </w:tcPr>
          <w:p w:rsidR="00706409" w:rsidRPr="00706409" w:rsidRDefault="00D205EF" w:rsidP="00706409">
            <w:pPr>
              <w:jc w:val="center"/>
              <w:rPr>
                <w:rFonts w:ascii="Arial" w:hAnsi="Arial" w:cs="Arial"/>
                <w:b/>
              </w:rPr>
            </w:pPr>
            <w:r w:rsidRPr="00706409">
              <w:rPr>
                <w:rFonts w:ascii="Arial" w:hAnsi="Arial" w:cs="Arial"/>
                <w:b/>
              </w:rPr>
              <w:t>2018/19 Actual</w:t>
            </w:r>
          </w:p>
          <w:p w:rsidR="00706409" w:rsidRPr="00706409" w:rsidRDefault="00D205EF" w:rsidP="00706409">
            <w:pPr>
              <w:jc w:val="center"/>
              <w:rPr>
                <w:rFonts w:ascii="Arial" w:hAnsi="Arial" w:cs="Arial"/>
                <w:b/>
              </w:rPr>
            </w:pPr>
            <w:r w:rsidRPr="00706409">
              <w:rPr>
                <w:rFonts w:ascii="Arial" w:hAnsi="Arial" w:cs="Arial"/>
                <w:b/>
              </w:rPr>
              <w:t>(</w:t>
            </w:r>
            <w:proofErr w:type="spellStart"/>
            <w:r w:rsidRPr="00706409">
              <w:rPr>
                <w:rFonts w:ascii="Arial" w:hAnsi="Arial" w:cs="Arial"/>
                <w:b/>
              </w:rPr>
              <w:t>sq</w:t>
            </w:r>
            <w:proofErr w:type="spellEnd"/>
            <w:r w:rsidRPr="00706409">
              <w:rPr>
                <w:rFonts w:ascii="Arial" w:hAnsi="Arial" w:cs="Arial"/>
                <w:b/>
              </w:rPr>
              <w:t xml:space="preserve"> m)</w:t>
            </w:r>
          </w:p>
        </w:tc>
        <w:tc>
          <w:tcPr>
            <w:tcW w:w="1690" w:type="dxa"/>
            <w:tcBorders>
              <w:top w:val="single" w:sz="4" w:space="0" w:color="auto"/>
              <w:left w:val="single" w:sz="4" w:space="0" w:color="auto"/>
              <w:bottom w:val="single" w:sz="4" w:space="0" w:color="auto"/>
              <w:right w:val="single" w:sz="4" w:space="0" w:color="auto"/>
            </w:tcBorders>
          </w:tcPr>
          <w:p w:rsidR="00706409" w:rsidRPr="00706409" w:rsidRDefault="00D205EF" w:rsidP="00706409">
            <w:pPr>
              <w:jc w:val="center"/>
              <w:rPr>
                <w:rFonts w:ascii="Arial" w:hAnsi="Arial" w:cs="Arial"/>
                <w:b/>
              </w:rPr>
            </w:pPr>
            <w:r w:rsidRPr="00706409">
              <w:rPr>
                <w:rFonts w:ascii="Arial" w:hAnsi="Arial" w:cs="Arial"/>
                <w:b/>
              </w:rPr>
              <w:t>2018/19 Variance</w:t>
            </w:r>
          </w:p>
          <w:p w:rsidR="00706409" w:rsidRPr="00706409" w:rsidRDefault="00D205EF" w:rsidP="00706409">
            <w:pPr>
              <w:jc w:val="center"/>
              <w:rPr>
                <w:rFonts w:ascii="Arial" w:hAnsi="Arial" w:cs="Arial"/>
                <w:b/>
              </w:rPr>
            </w:pPr>
            <w:r w:rsidRPr="00706409">
              <w:rPr>
                <w:rFonts w:ascii="Arial" w:hAnsi="Arial" w:cs="Arial"/>
                <w:b/>
              </w:rPr>
              <w:t>(</w:t>
            </w:r>
            <w:proofErr w:type="spellStart"/>
            <w:r w:rsidRPr="00706409">
              <w:rPr>
                <w:rFonts w:ascii="Arial" w:hAnsi="Arial" w:cs="Arial"/>
                <w:b/>
              </w:rPr>
              <w:t>sq</w:t>
            </w:r>
            <w:proofErr w:type="spellEnd"/>
            <w:r w:rsidRPr="00706409">
              <w:rPr>
                <w:rFonts w:ascii="Arial" w:hAnsi="Arial" w:cs="Arial"/>
                <w:b/>
              </w:rPr>
              <w:t xml:space="preserve"> m)</w:t>
            </w:r>
          </w:p>
        </w:tc>
        <w:tc>
          <w:tcPr>
            <w:tcW w:w="1690" w:type="dxa"/>
            <w:tcBorders>
              <w:top w:val="single" w:sz="4" w:space="0" w:color="auto"/>
              <w:left w:val="single" w:sz="4" w:space="0" w:color="auto"/>
              <w:bottom w:val="single" w:sz="4" w:space="0" w:color="auto"/>
              <w:right w:val="single" w:sz="4" w:space="0" w:color="auto"/>
            </w:tcBorders>
          </w:tcPr>
          <w:p w:rsidR="00706409" w:rsidRPr="00706409" w:rsidRDefault="00D205EF" w:rsidP="00706409">
            <w:pPr>
              <w:jc w:val="center"/>
              <w:rPr>
                <w:rFonts w:ascii="Arial" w:hAnsi="Arial" w:cs="Arial"/>
                <w:b/>
              </w:rPr>
            </w:pPr>
            <w:r w:rsidRPr="00706409">
              <w:rPr>
                <w:rFonts w:ascii="Arial" w:hAnsi="Arial" w:cs="Arial"/>
                <w:b/>
              </w:rPr>
              <w:t>Cumulative</w:t>
            </w:r>
          </w:p>
          <w:p w:rsidR="00706409" w:rsidRPr="00706409" w:rsidRDefault="00D205EF" w:rsidP="00706409">
            <w:pPr>
              <w:jc w:val="center"/>
              <w:rPr>
                <w:rFonts w:ascii="Arial" w:hAnsi="Arial" w:cs="Arial"/>
                <w:b/>
              </w:rPr>
            </w:pPr>
            <w:r w:rsidRPr="00706409">
              <w:rPr>
                <w:rFonts w:ascii="Arial" w:hAnsi="Arial" w:cs="Arial"/>
                <w:b/>
              </w:rPr>
              <w:t>To date</w:t>
            </w:r>
          </w:p>
        </w:tc>
        <w:tc>
          <w:tcPr>
            <w:tcW w:w="1690" w:type="dxa"/>
            <w:tcBorders>
              <w:top w:val="single" w:sz="4" w:space="0" w:color="auto"/>
              <w:left w:val="single" w:sz="4" w:space="0" w:color="auto"/>
              <w:bottom w:val="single" w:sz="4" w:space="0" w:color="auto"/>
              <w:right w:val="single" w:sz="4" w:space="0" w:color="auto"/>
            </w:tcBorders>
          </w:tcPr>
          <w:p w:rsidR="00706409" w:rsidRPr="00706409" w:rsidRDefault="00D205EF" w:rsidP="00706409">
            <w:pPr>
              <w:jc w:val="center"/>
              <w:rPr>
                <w:rFonts w:ascii="Arial" w:hAnsi="Arial" w:cs="Arial"/>
                <w:b/>
              </w:rPr>
            </w:pPr>
            <w:r w:rsidRPr="00706409">
              <w:rPr>
                <w:rFonts w:ascii="Arial" w:hAnsi="Arial" w:cs="Arial"/>
                <w:b/>
              </w:rPr>
              <w:t>Cumulative variance to date *</w:t>
            </w:r>
          </w:p>
        </w:tc>
      </w:tr>
      <w:tr w:rsidR="00DB20DF" w:rsidTr="00D30CB8">
        <w:tc>
          <w:tcPr>
            <w:tcW w:w="2511" w:type="dxa"/>
          </w:tcPr>
          <w:p w:rsidR="00706409" w:rsidRPr="00706409" w:rsidRDefault="00D205EF" w:rsidP="00706409">
            <w:pPr>
              <w:rPr>
                <w:rFonts w:ascii="Arial" w:hAnsi="Arial" w:cs="Arial"/>
                <w:sz w:val="24"/>
                <w:szCs w:val="24"/>
              </w:rPr>
            </w:pPr>
            <w:r w:rsidRPr="00706409">
              <w:rPr>
                <w:rFonts w:ascii="Arial" w:hAnsi="Arial" w:cs="Arial"/>
                <w:sz w:val="24"/>
                <w:szCs w:val="24"/>
              </w:rPr>
              <w:t xml:space="preserve">Commercial </w:t>
            </w:r>
            <w:proofErr w:type="spellStart"/>
            <w:r w:rsidRPr="00706409">
              <w:rPr>
                <w:rFonts w:ascii="Arial" w:hAnsi="Arial" w:cs="Arial"/>
                <w:sz w:val="24"/>
                <w:szCs w:val="24"/>
              </w:rPr>
              <w:t>floorspace</w:t>
            </w:r>
            <w:proofErr w:type="spellEnd"/>
            <w:r w:rsidRPr="00706409">
              <w:rPr>
                <w:rFonts w:ascii="Arial" w:hAnsi="Arial" w:cs="Arial"/>
                <w:sz w:val="24"/>
                <w:szCs w:val="24"/>
              </w:rPr>
              <w:t xml:space="preserve"> completed (</w:t>
            </w:r>
            <w:proofErr w:type="spellStart"/>
            <w:r w:rsidRPr="00706409">
              <w:rPr>
                <w:rFonts w:ascii="Arial" w:hAnsi="Arial" w:cs="Arial"/>
                <w:sz w:val="24"/>
                <w:szCs w:val="24"/>
              </w:rPr>
              <w:t>sq</w:t>
            </w:r>
            <w:proofErr w:type="spellEnd"/>
            <w:r w:rsidRPr="00706409">
              <w:rPr>
                <w:rFonts w:ascii="Arial" w:hAnsi="Arial" w:cs="Arial"/>
                <w:sz w:val="24"/>
                <w:szCs w:val="24"/>
              </w:rPr>
              <w:t xml:space="preserve"> m)</w:t>
            </w:r>
          </w:p>
        </w:tc>
        <w:tc>
          <w:tcPr>
            <w:tcW w:w="1618" w:type="dxa"/>
            <w:hideMark/>
          </w:tcPr>
          <w:p w:rsidR="00706409" w:rsidRPr="00706409" w:rsidRDefault="00D205EF" w:rsidP="00706409">
            <w:pPr>
              <w:jc w:val="center"/>
              <w:rPr>
                <w:rFonts w:ascii="Arial" w:hAnsi="Arial" w:cs="Arial"/>
                <w:sz w:val="24"/>
                <w:szCs w:val="24"/>
              </w:rPr>
            </w:pPr>
            <w:r w:rsidRPr="00706409">
              <w:rPr>
                <w:rFonts w:ascii="Arial" w:hAnsi="Arial" w:cs="Arial"/>
                <w:sz w:val="24"/>
                <w:szCs w:val="24"/>
              </w:rPr>
              <w:t>15,745</w:t>
            </w:r>
          </w:p>
          <w:p w:rsidR="00706409" w:rsidRPr="00706409" w:rsidRDefault="00F641D9" w:rsidP="00706409">
            <w:pPr>
              <w:jc w:val="center"/>
              <w:rPr>
                <w:rFonts w:ascii="Arial" w:hAnsi="Arial" w:cs="Arial"/>
                <w:sz w:val="24"/>
                <w:szCs w:val="24"/>
              </w:rPr>
            </w:pPr>
          </w:p>
        </w:tc>
        <w:tc>
          <w:tcPr>
            <w:tcW w:w="1507" w:type="dxa"/>
            <w:hideMark/>
          </w:tcPr>
          <w:p w:rsidR="00706409" w:rsidRPr="00706409" w:rsidRDefault="00D205EF" w:rsidP="00706409">
            <w:pPr>
              <w:jc w:val="center"/>
              <w:rPr>
                <w:rFonts w:ascii="Arial" w:hAnsi="Arial" w:cs="Arial"/>
                <w:sz w:val="24"/>
                <w:szCs w:val="24"/>
              </w:rPr>
            </w:pPr>
            <w:r w:rsidRPr="00706409">
              <w:rPr>
                <w:rFonts w:ascii="Arial" w:hAnsi="Arial" w:cs="Arial"/>
                <w:sz w:val="24"/>
                <w:szCs w:val="24"/>
              </w:rPr>
              <w:t>8,321.5</w:t>
            </w:r>
          </w:p>
        </w:tc>
        <w:tc>
          <w:tcPr>
            <w:tcW w:w="1690" w:type="dxa"/>
          </w:tcPr>
          <w:p w:rsidR="00706409" w:rsidRPr="00706409" w:rsidRDefault="00D205EF" w:rsidP="00706409">
            <w:pPr>
              <w:jc w:val="center"/>
              <w:rPr>
                <w:rFonts w:ascii="Arial" w:hAnsi="Arial" w:cs="Arial"/>
                <w:sz w:val="24"/>
                <w:szCs w:val="24"/>
              </w:rPr>
            </w:pPr>
            <w:r w:rsidRPr="00706409">
              <w:rPr>
                <w:rFonts w:ascii="Arial" w:hAnsi="Arial" w:cs="Arial"/>
                <w:sz w:val="24"/>
                <w:szCs w:val="24"/>
              </w:rPr>
              <w:t>-7,423.5</w:t>
            </w:r>
          </w:p>
        </w:tc>
        <w:tc>
          <w:tcPr>
            <w:tcW w:w="1690" w:type="dxa"/>
          </w:tcPr>
          <w:p w:rsidR="00706409" w:rsidRPr="00706409" w:rsidRDefault="00D205EF" w:rsidP="00706409">
            <w:pPr>
              <w:jc w:val="center"/>
              <w:rPr>
                <w:rFonts w:ascii="Arial" w:hAnsi="Arial" w:cs="Arial"/>
                <w:sz w:val="24"/>
                <w:szCs w:val="24"/>
              </w:rPr>
            </w:pPr>
            <w:r w:rsidRPr="00706409">
              <w:rPr>
                <w:rFonts w:ascii="Arial" w:hAnsi="Arial" w:cs="Arial"/>
                <w:sz w:val="24"/>
                <w:szCs w:val="24"/>
              </w:rPr>
              <w:t>63,913.5</w:t>
            </w:r>
          </w:p>
        </w:tc>
        <w:tc>
          <w:tcPr>
            <w:tcW w:w="1690" w:type="dxa"/>
          </w:tcPr>
          <w:p w:rsidR="00706409" w:rsidRPr="00706409" w:rsidRDefault="00D205EF" w:rsidP="00706409">
            <w:pPr>
              <w:jc w:val="center"/>
              <w:rPr>
                <w:rFonts w:ascii="Arial" w:hAnsi="Arial" w:cs="Arial"/>
                <w:sz w:val="24"/>
                <w:szCs w:val="24"/>
              </w:rPr>
            </w:pPr>
            <w:r w:rsidRPr="00706409">
              <w:rPr>
                <w:rFonts w:ascii="Arial" w:hAnsi="Arial" w:cs="Arial"/>
                <w:sz w:val="24"/>
                <w:szCs w:val="24"/>
              </w:rPr>
              <w:t>-46,321.5</w:t>
            </w:r>
          </w:p>
          <w:p w:rsidR="00706409" w:rsidRPr="00706409" w:rsidRDefault="00F641D9" w:rsidP="00706409">
            <w:pPr>
              <w:jc w:val="center"/>
              <w:rPr>
                <w:rFonts w:ascii="Arial" w:hAnsi="Arial" w:cs="Arial"/>
                <w:sz w:val="24"/>
                <w:szCs w:val="24"/>
              </w:rPr>
            </w:pPr>
          </w:p>
        </w:tc>
      </w:tr>
      <w:tr w:rsidR="00DB20DF" w:rsidTr="00D30CB8">
        <w:tc>
          <w:tcPr>
            <w:tcW w:w="2511" w:type="dxa"/>
            <w:tcBorders>
              <w:top w:val="single" w:sz="4" w:space="0" w:color="auto"/>
              <w:left w:val="single" w:sz="4" w:space="0" w:color="auto"/>
              <w:bottom w:val="single" w:sz="4" w:space="0" w:color="auto"/>
              <w:right w:val="single" w:sz="4" w:space="0" w:color="auto"/>
            </w:tcBorders>
          </w:tcPr>
          <w:p w:rsidR="00706409" w:rsidRPr="00706409" w:rsidRDefault="00D205EF" w:rsidP="00706409">
            <w:pPr>
              <w:rPr>
                <w:rFonts w:ascii="Arial" w:hAnsi="Arial" w:cs="Arial"/>
                <w:sz w:val="24"/>
                <w:szCs w:val="24"/>
              </w:rPr>
            </w:pPr>
            <w:r w:rsidRPr="00706409">
              <w:rPr>
                <w:rFonts w:ascii="Arial" w:hAnsi="Arial" w:cs="Arial"/>
                <w:sz w:val="24"/>
                <w:szCs w:val="24"/>
              </w:rPr>
              <w:t xml:space="preserve">Commercial </w:t>
            </w:r>
            <w:proofErr w:type="spellStart"/>
            <w:r w:rsidRPr="00706409">
              <w:rPr>
                <w:rFonts w:ascii="Arial" w:hAnsi="Arial" w:cs="Arial"/>
                <w:sz w:val="24"/>
                <w:szCs w:val="24"/>
              </w:rPr>
              <w:t>floorspace</w:t>
            </w:r>
            <w:proofErr w:type="spellEnd"/>
            <w:r w:rsidRPr="00706409">
              <w:rPr>
                <w:rFonts w:ascii="Arial" w:hAnsi="Arial" w:cs="Arial"/>
                <w:sz w:val="24"/>
                <w:szCs w:val="24"/>
              </w:rPr>
              <w:t xml:space="preserve"> consented for planning  (</w:t>
            </w:r>
            <w:proofErr w:type="spellStart"/>
            <w:r w:rsidRPr="00706409">
              <w:rPr>
                <w:rFonts w:ascii="Arial" w:hAnsi="Arial" w:cs="Arial"/>
                <w:sz w:val="24"/>
                <w:szCs w:val="24"/>
              </w:rPr>
              <w:t>sq</w:t>
            </w:r>
            <w:proofErr w:type="spellEnd"/>
            <w:r w:rsidRPr="00706409">
              <w:rPr>
                <w:rFonts w:ascii="Arial" w:hAnsi="Arial" w:cs="Arial"/>
                <w:sz w:val="24"/>
                <w:szCs w:val="24"/>
              </w:rPr>
              <w:t xml:space="preserve"> m)</w:t>
            </w:r>
          </w:p>
        </w:tc>
        <w:tc>
          <w:tcPr>
            <w:tcW w:w="1618" w:type="dxa"/>
            <w:tcBorders>
              <w:top w:val="single" w:sz="4" w:space="0" w:color="auto"/>
              <w:left w:val="single" w:sz="4" w:space="0" w:color="auto"/>
              <w:bottom w:val="single" w:sz="4" w:space="0" w:color="auto"/>
              <w:right w:val="single" w:sz="4" w:space="0" w:color="auto"/>
            </w:tcBorders>
            <w:hideMark/>
          </w:tcPr>
          <w:p w:rsidR="00706409" w:rsidRPr="00706409" w:rsidRDefault="00D205EF" w:rsidP="00706409">
            <w:pPr>
              <w:jc w:val="center"/>
              <w:rPr>
                <w:rFonts w:ascii="Arial" w:hAnsi="Arial" w:cs="Arial"/>
                <w:sz w:val="24"/>
                <w:szCs w:val="24"/>
              </w:rPr>
            </w:pPr>
            <w:r w:rsidRPr="00706409">
              <w:rPr>
                <w:rFonts w:ascii="Arial" w:hAnsi="Arial" w:cs="Arial"/>
                <w:sz w:val="24"/>
                <w:szCs w:val="24"/>
              </w:rPr>
              <w:t>16,069</w:t>
            </w:r>
          </w:p>
        </w:tc>
        <w:tc>
          <w:tcPr>
            <w:tcW w:w="1507" w:type="dxa"/>
            <w:tcBorders>
              <w:top w:val="single" w:sz="4" w:space="0" w:color="auto"/>
              <w:left w:val="single" w:sz="4" w:space="0" w:color="auto"/>
              <w:bottom w:val="single" w:sz="4" w:space="0" w:color="auto"/>
              <w:right w:val="single" w:sz="4" w:space="0" w:color="auto"/>
            </w:tcBorders>
            <w:hideMark/>
          </w:tcPr>
          <w:p w:rsidR="00706409" w:rsidRPr="00706409" w:rsidRDefault="00D205EF" w:rsidP="00706409">
            <w:pPr>
              <w:jc w:val="center"/>
              <w:rPr>
                <w:rFonts w:ascii="Arial" w:hAnsi="Arial" w:cs="Arial"/>
                <w:sz w:val="24"/>
                <w:szCs w:val="24"/>
              </w:rPr>
            </w:pPr>
            <w:r w:rsidRPr="00706409">
              <w:rPr>
                <w:rFonts w:ascii="Arial" w:hAnsi="Arial" w:cs="Arial"/>
                <w:sz w:val="24"/>
                <w:szCs w:val="24"/>
              </w:rPr>
              <w:t xml:space="preserve">42,829  </w:t>
            </w:r>
          </w:p>
          <w:p w:rsidR="00706409" w:rsidRPr="00706409" w:rsidRDefault="00F641D9" w:rsidP="00706409">
            <w:pPr>
              <w:jc w:val="center"/>
              <w:rPr>
                <w:rFonts w:ascii="Arial" w:hAnsi="Arial" w:cs="Arial"/>
                <w:sz w:val="24"/>
                <w:szCs w:val="24"/>
              </w:rPr>
            </w:pPr>
          </w:p>
        </w:tc>
        <w:tc>
          <w:tcPr>
            <w:tcW w:w="1690" w:type="dxa"/>
            <w:tcBorders>
              <w:top w:val="single" w:sz="4" w:space="0" w:color="auto"/>
              <w:left w:val="single" w:sz="4" w:space="0" w:color="auto"/>
              <w:bottom w:val="single" w:sz="4" w:space="0" w:color="auto"/>
              <w:right w:val="single" w:sz="4" w:space="0" w:color="auto"/>
            </w:tcBorders>
          </w:tcPr>
          <w:p w:rsidR="00706409" w:rsidRPr="00706409" w:rsidRDefault="00D205EF" w:rsidP="00706409">
            <w:pPr>
              <w:jc w:val="center"/>
              <w:rPr>
                <w:rFonts w:ascii="Arial" w:hAnsi="Arial" w:cs="Arial"/>
                <w:sz w:val="24"/>
                <w:szCs w:val="24"/>
              </w:rPr>
            </w:pPr>
            <w:r w:rsidRPr="00706409">
              <w:rPr>
                <w:rFonts w:ascii="Arial" w:hAnsi="Arial" w:cs="Arial"/>
                <w:sz w:val="24"/>
                <w:szCs w:val="24"/>
              </w:rPr>
              <w:t>+26,760</w:t>
            </w:r>
          </w:p>
        </w:tc>
        <w:tc>
          <w:tcPr>
            <w:tcW w:w="1690" w:type="dxa"/>
            <w:tcBorders>
              <w:top w:val="single" w:sz="4" w:space="0" w:color="auto"/>
              <w:left w:val="single" w:sz="4" w:space="0" w:color="auto"/>
              <w:bottom w:val="single" w:sz="4" w:space="0" w:color="auto"/>
              <w:right w:val="single" w:sz="4" w:space="0" w:color="auto"/>
            </w:tcBorders>
          </w:tcPr>
          <w:p w:rsidR="00706409" w:rsidRPr="00706409" w:rsidRDefault="00D205EF" w:rsidP="00706409">
            <w:pPr>
              <w:jc w:val="center"/>
              <w:rPr>
                <w:rFonts w:ascii="Arial" w:hAnsi="Arial" w:cs="Arial"/>
                <w:sz w:val="24"/>
                <w:szCs w:val="24"/>
              </w:rPr>
            </w:pPr>
            <w:r w:rsidRPr="00706409">
              <w:rPr>
                <w:rFonts w:ascii="Arial" w:hAnsi="Arial" w:cs="Arial"/>
                <w:sz w:val="24"/>
                <w:szCs w:val="24"/>
              </w:rPr>
              <w:t>n/a</w:t>
            </w:r>
          </w:p>
        </w:tc>
        <w:tc>
          <w:tcPr>
            <w:tcW w:w="1690" w:type="dxa"/>
            <w:tcBorders>
              <w:top w:val="single" w:sz="4" w:space="0" w:color="auto"/>
              <w:left w:val="single" w:sz="4" w:space="0" w:color="auto"/>
              <w:bottom w:val="single" w:sz="4" w:space="0" w:color="auto"/>
              <w:right w:val="single" w:sz="4" w:space="0" w:color="auto"/>
            </w:tcBorders>
          </w:tcPr>
          <w:p w:rsidR="00706409" w:rsidRPr="00706409" w:rsidRDefault="00D205EF" w:rsidP="00706409">
            <w:pPr>
              <w:jc w:val="center"/>
              <w:rPr>
                <w:rFonts w:ascii="Arial" w:hAnsi="Arial" w:cs="Arial"/>
                <w:sz w:val="24"/>
                <w:szCs w:val="24"/>
              </w:rPr>
            </w:pPr>
            <w:r w:rsidRPr="00706409">
              <w:rPr>
                <w:rFonts w:ascii="Arial" w:hAnsi="Arial" w:cs="Arial"/>
                <w:sz w:val="24"/>
                <w:szCs w:val="24"/>
              </w:rPr>
              <w:t>n/a</w:t>
            </w:r>
          </w:p>
        </w:tc>
      </w:tr>
      <w:tr w:rsidR="00DB20DF" w:rsidTr="00D30CB8">
        <w:tc>
          <w:tcPr>
            <w:tcW w:w="2511" w:type="dxa"/>
            <w:tcBorders>
              <w:top w:val="single" w:sz="4" w:space="0" w:color="auto"/>
              <w:left w:val="single" w:sz="4" w:space="0" w:color="auto"/>
              <w:bottom w:val="single" w:sz="4" w:space="0" w:color="auto"/>
              <w:right w:val="single" w:sz="4" w:space="0" w:color="auto"/>
            </w:tcBorders>
            <w:hideMark/>
          </w:tcPr>
          <w:p w:rsidR="00706409" w:rsidRPr="00706409" w:rsidRDefault="00D205EF" w:rsidP="00706409">
            <w:pPr>
              <w:rPr>
                <w:rFonts w:ascii="Arial" w:hAnsi="Arial" w:cs="Arial"/>
                <w:sz w:val="24"/>
                <w:szCs w:val="24"/>
              </w:rPr>
            </w:pPr>
            <w:r w:rsidRPr="00706409">
              <w:rPr>
                <w:rFonts w:ascii="Arial" w:hAnsi="Arial" w:cs="Arial"/>
                <w:sz w:val="24"/>
                <w:szCs w:val="24"/>
              </w:rPr>
              <w:t xml:space="preserve">Commercial </w:t>
            </w:r>
            <w:proofErr w:type="spellStart"/>
            <w:r w:rsidRPr="00706409">
              <w:rPr>
                <w:rFonts w:ascii="Arial" w:hAnsi="Arial" w:cs="Arial"/>
                <w:sz w:val="24"/>
                <w:szCs w:val="24"/>
              </w:rPr>
              <w:t>floorspace</w:t>
            </w:r>
            <w:proofErr w:type="spellEnd"/>
            <w:r w:rsidRPr="00706409">
              <w:rPr>
                <w:rFonts w:ascii="Arial" w:hAnsi="Arial" w:cs="Arial"/>
                <w:sz w:val="24"/>
                <w:szCs w:val="24"/>
              </w:rPr>
              <w:t xml:space="preserve"> submitted for planning</w:t>
            </w:r>
          </w:p>
        </w:tc>
        <w:tc>
          <w:tcPr>
            <w:tcW w:w="1618" w:type="dxa"/>
            <w:tcBorders>
              <w:top w:val="single" w:sz="4" w:space="0" w:color="auto"/>
              <w:left w:val="single" w:sz="4" w:space="0" w:color="auto"/>
              <w:bottom w:val="single" w:sz="4" w:space="0" w:color="auto"/>
              <w:right w:val="single" w:sz="4" w:space="0" w:color="auto"/>
            </w:tcBorders>
            <w:hideMark/>
          </w:tcPr>
          <w:p w:rsidR="00706409" w:rsidRPr="00706409" w:rsidRDefault="00D205EF" w:rsidP="00706409">
            <w:pPr>
              <w:jc w:val="center"/>
              <w:rPr>
                <w:rFonts w:ascii="Arial" w:hAnsi="Arial" w:cs="Arial"/>
                <w:sz w:val="24"/>
                <w:szCs w:val="24"/>
              </w:rPr>
            </w:pPr>
            <w:r w:rsidRPr="00706409">
              <w:rPr>
                <w:rFonts w:ascii="Arial" w:hAnsi="Arial" w:cs="Arial"/>
                <w:sz w:val="24"/>
                <w:szCs w:val="24"/>
              </w:rPr>
              <w:t>16,069</w:t>
            </w:r>
          </w:p>
        </w:tc>
        <w:tc>
          <w:tcPr>
            <w:tcW w:w="1507" w:type="dxa"/>
            <w:tcBorders>
              <w:top w:val="single" w:sz="4" w:space="0" w:color="auto"/>
              <w:left w:val="single" w:sz="4" w:space="0" w:color="auto"/>
              <w:bottom w:val="single" w:sz="4" w:space="0" w:color="auto"/>
              <w:right w:val="single" w:sz="4" w:space="0" w:color="auto"/>
            </w:tcBorders>
            <w:hideMark/>
          </w:tcPr>
          <w:p w:rsidR="00706409" w:rsidRPr="00706409" w:rsidRDefault="00D205EF" w:rsidP="00706409">
            <w:pPr>
              <w:jc w:val="center"/>
              <w:rPr>
                <w:rFonts w:ascii="Arial" w:hAnsi="Arial" w:cs="Arial"/>
                <w:sz w:val="24"/>
                <w:szCs w:val="24"/>
              </w:rPr>
            </w:pPr>
            <w:r w:rsidRPr="00706409">
              <w:rPr>
                <w:rFonts w:ascii="Arial" w:hAnsi="Arial" w:cs="Arial"/>
                <w:sz w:val="24"/>
                <w:szCs w:val="24"/>
              </w:rPr>
              <w:t>47,182</w:t>
            </w:r>
          </w:p>
        </w:tc>
        <w:tc>
          <w:tcPr>
            <w:tcW w:w="1690" w:type="dxa"/>
            <w:tcBorders>
              <w:top w:val="single" w:sz="4" w:space="0" w:color="auto"/>
              <w:left w:val="single" w:sz="4" w:space="0" w:color="auto"/>
              <w:bottom w:val="single" w:sz="4" w:space="0" w:color="auto"/>
              <w:right w:val="single" w:sz="4" w:space="0" w:color="auto"/>
            </w:tcBorders>
          </w:tcPr>
          <w:p w:rsidR="00706409" w:rsidRPr="00706409" w:rsidRDefault="00D205EF" w:rsidP="00706409">
            <w:pPr>
              <w:jc w:val="center"/>
              <w:rPr>
                <w:rFonts w:ascii="Arial" w:hAnsi="Arial" w:cs="Arial"/>
                <w:sz w:val="24"/>
                <w:szCs w:val="24"/>
              </w:rPr>
            </w:pPr>
            <w:r w:rsidRPr="00706409">
              <w:rPr>
                <w:rFonts w:ascii="Arial" w:hAnsi="Arial" w:cs="Arial"/>
                <w:sz w:val="24"/>
                <w:szCs w:val="24"/>
              </w:rPr>
              <w:t>+31,113</w:t>
            </w:r>
          </w:p>
        </w:tc>
        <w:tc>
          <w:tcPr>
            <w:tcW w:w="1690" w:type="dxa"/>
            <w:tcBorders>
              <w:top w:val="single" w:sz="4" w:space="0" w:color="auto"/>
              <w:left w:val="single" w:sz="4" w:space="0" w:color="auto"/>
              <w:bottom w:val="single" w:sz="4" w:space="0" w:color="auto"/>
              <w:right w:val="single" w:sz="4" w:space="0" w:color="auto"/>
            </w:tcBorders>
          </w:tcPr>
          <w:p w:rsidR="00706409" w:rsidRPr="00706409" w:rsidRDefault="00D205EF" w:rsidP="00706409">
            <w:pPr>
              <w:jc w:val="center"/>
              <w:rPr>
                <w:rFonts w:ascii="Arial" w:hAnsi="Arial" w:cs="Arial"/>
                <w:sz w:val="24"/>
                <w:szCs w:val="24"/>
              </w:rPr>
            </w:pPr>
            <w:r w:rsidRPr="00706409">
              <w:rPr>
                <w:rFonts w:ascii="Arial" w:hAnsi="Arial" w:cs="Arial"/>
                <w:sz w:val="24"/>
                <w:szCs w:val="24"/>
              </w:rPr>
              <w:t>n/a</w:t>
            </w:r>
          </w:p>
        </w:tc>
        <w:tc>
          <w:tcPr>
            <w:tcW w:w="1690" w:type="dxa"/>
            <w:tcBorders>
              <w:top w:val="single" w:sz="4" w:space="0" w:color="auto"/>
              <w:left w:val="single" w:sz="4" w:space="0" w:color="auto"/>
              <w:bottom w:val="single" w:sz="4" w:space="0" w:color="auto"/>
              <w:right w:val="single" w:sz="4" w:space="0" w:color="auto"/>
            </w:tcBorders>
          </w:tcPr>
          <w:p w:rsidR="00706409" w:rsidRPr="00706409" w:rsidRDefault="00D205EF" w:rsidP="00706409">
            <w:pPr>
              <w:jc w:val="center"/>
              <w:rPr>
                <w:rFonts w:ascii="Arial" w:hAnsi="Arial" w:cs="Arial"/>
                <w:sz w:val="24"/>
                <w:szCs w:val="24"/>
              </w:rPr>
            </w:pPr>
            <w:r w:rsidRPr="00706409">
              <w:rPr>
                <w:rFonts w:ascii="Arial" w:hAnsi="Arial" w:cs="Arial"/>
                <w:sz w:val="24"/>
                <w:szCs w:val="24"/>
              </w:rPr>
              <w:t>n/a</w:t>
            </w:r>
          </w:p>
        </w:tc>
      </w:tr>
    </w:tbl>
    <w:p w:rsidR="00706409" w:rsidRPr="00706409" w:rsidRDefault="00D205EF" w:rsidP="00706409">
      <w:pPr>
        <w:spacing w:after="0" w:line="240" w:lineRule="auto"/>
        <w:ind w:left="360"/>
        <w:jc w:val="both"/>
        <w:rPr>
          <w:rFonts w:ascii="Arial" w:hAnsi="Arial" w:cs="Arial"/>
          <w:sz w:val="24"/>
          <w:szCs w:val="24"/>
        </w:rPr>
      </w:pPr>
      <w:r w:rsidRPr="00706409">
        <w:rPr>
          <w:rFonts w:ascii="Arial" w:hAnsi="Arial" w:cs="Arial"/>
          <w:sz w:val="24"/>
          <w:szCs w:val="24"/>
        </w:rPr>
        <w:t xml:space="preserve">(*) cumulative variance against </w:t>
      </w:r>
      <w:proofErr w:type="spellStart"/>
      <w:r w:rsidRPr="00706409">
        <w:rPr>
          <w:rFonts w:ascii="Arial" w:hAnsi="Arial" w:cs="Arial"/>
          <w:sz w:val="24"/>
          <w:szCs w:val="24"/>
        </w:rPr>
        <w:t>Keppie</w:t>
      </w:r>
      <w:proofErr w:type="spellEnd"/>
      <w:r w:rsidRPr="00706409">
        <w:rPr>
          <w:rFonts w:ascii="Arial" w:hAnsi="Arial" w:cs="Arial"/>
          <w:sz w:val="24"/>
          <w:szCs w:val="24"/>
        </w:rPr>
        <w:t xml:space="preserve"> Massie baseline targets 2016)</w:t>
      </w:r>
    </w:p>
    <w:p w:rsidR="00706409" w:rsidRPr="00706409" w:rsidRDefault="00F641D9" w:rsidP="00706409">
      <w:pPr>
        <w:tabs>
          <w:tab w:val="left" w:pos="426"/>
        </w:tabs>
        <w:spacing w:after="0" w:line="240" w:lineRule="auto"/>
        <w:ind w:left="360" w:hanging="360"/>
        <w:jc w:val="both"/>
        <w:rPr>
          <w:rFonts w:ascii="Arial" w:hAnsi="Arial" w:cs="Arial"/>
          <w:b/>
          <w:sz w:val="24"/>
          <w:szCs w:val="24"/>
        </w:rPr>
      </w:pPr>
    </w:p>
    <w:p w:rsidR="00706409" w:rsidRPr="00706409" w:rsidRDefault="00D205EF" w:rsidP="00706409">
      <w:pPr>
        <w:tabs>
          <w:tab w:val="left" w:pos="426"/>
        </w:tabs>
        <w:spacing w:after="0" w:line="240" w:lineRule="auto"/>
        <w:ind w:left="360" w:hanging="360"/>
        <w:jc w:val="both"/>
        <w:rPr>
          <w:rFonts w:ascii="Arial" w:hAnsi="Arial" w:cs="Arial"/>
          <w:b/>
          <w:sz w:val="24"/>
          <w:szCs w:val="24"/>
        </w:rPr>
      </w:pPr>
      <w:r w:rsidRPr="00706409">
        <w:rPr>
          <w:rFonts w:ascii="Arial" w:hAnsi="Arial" w:cs="Arial"/>
          <w:b/>
          <w:sz w:val="24"/>
          <w:szCs w:val="24"/>
        </w:rPr>
        <w:t>How we are working to progress employment sites:</w:t>
      </w:r>
    </w:p>
    <w:p w:rsidR="00706409" w:rsidRPr="00706409" w:rsidRDefault="00F641D9" w:rsidP="00706409">
      <w:pPr>
        <w:tabs>
          <w:tab w:val="left" w:pos="426"/>
        </w:tabs>
        <w:spacing w:after="0" w:line="240" w:lineRule="auto"/>
        <w:ind w:left="360" w:hanging="360"/>
        <w:jc w:val="both"/>
        <w:rPr>
          <w:rFonts w:ascii="Arial" w:hAnsi="Arial" w:cs="Arial"/>
          <w:sz w:val="24"/>
          <w:szCs w:val="24"/>
        </w:rPr>
      </w:pPr>
    </w:p>
    <w:p w:rsidR="00706409" w:rsidRPr="00706409" w:rsidRDefault="00D205EF" w:rsidP="00706409">
      <w:pPr>
        <w:tabs>
          <w:tab w:val="left" w:pos="567"/>
        </w:tabs>
        <w:spacing w:after="0" w:line="240" w:lineRule="auto"/>
        <w:ind w:left="360" w:hanging="360"/>
        <w:jc w:val="both"/>
        <w:rPr>
          <w:rFonts w:ascii="Arial" w:hAnsi="Arial" w:cs="Arial"/>
          <w:sz w:val="24"/>
          <w:szCs w:val="24"/>
        </w:rPr>
      </w:pPr>
      <w:r w:rsidRPr="00706409">
        <w:rPr>
          <w:rFonts w:ascii="Arial" w:hAnsi="Arial" w:cs="Arial"/>
          <w:sz w:val="24"/>
          <w:szCs w:val="24"/>
        </w:rPr>
        <w:t xml:space="preserve">4.8 In total, 13 projects are performing in line with anticipated completion targets. A  further 11 projects have mitigation actions in place to support delivery, whilst 3 projects face commercial viability issues and significant barriers to progress, these are </w:t>
      </w:r>
      <w:proofErr w:type="spellStart"/>
      <w:r w:rsidRPr="00706409">
        <w:rPr>
          <w:rFonts w:ascii="Arial" w:hAnsi="Arial" w:cs="Arial"/>
          <w:sz w:val="24"/>
          <w:szCs w:val="24"/>
        </w:rPr>
        <w:t>Whittingham</w:t>
      </w:r>
      <w:proofErr w:type="spellEnd"/>
      <w:r w:rsidRPr="00706409">
        <w:rPr>
          <w:rFonts w:ascii="Arial" w:hAnsi="Arial" w:cs="Arial"/>
          <w:sz w:val="24"/>
          <w:szCs w:val="24"/>
        </w:rPr>
        <w:t xml:space="preserve">, </w:t>
      </w:r>
      <w:proofErr w:type="spellStart"/>
      <w:r w:rsidRPr="00706409">
        <w:rPr>
          <w:rFonts w:ascii="Arial" w:hAnsi="Arial" w:cs="Arial"/>
          <w:sz w:val="24"/>
          <w:szCs w:val="24"/>
        </w:rPr>
        <w:t>Pickerings</w:t>
      </w:r>
      <w:proofErr w:type="spellEnd"/>
      <w:r w:rsidRPr="00706409">
        <w:rPr>
          <w:rFonts w:ascii="Arial" w:hAnsi="Arial" w:cs="Arial"/>
          <w:sz w:val="24"/>
          <w:szCs w:val="24"/>
        </w:rPr>
        <w:t xml:space="preserve"> Farm and College Court, </w:t>
      </w:r>
      <w:proofErr w:type="spellStart"/>
      <w:r w:rsidRPr="00706409">
        <w:rPr>
          <w:rFonts w:ascii="Arial" w:hAnsi="Arial" w:cs="Arial"/>
          <w:sz w:val="24"/>
          <w:szCs w:val="24"/>
        </w:rPr>
        <w:t>Winckley</w:t>
      </w:r>
      <w:proofErr w:type="spellEnd"/>
      <w:r w:rsidRPr="00706409">
        <w:rPr>
          <w:rFonts w:ascii="Arial" w:hAnsi="Arial" w:cs="Arial"/>
          <w:sz w:val="24"/>
          <w:szCs w:val="24"/>
        </w:rPr>
        <w:t xml:space="preserve"> square.  See appendix 2, housing and commercial sites dashboard.</w:t>
      </w:r>
    </w:p>
    <w:p w:rsidR="00706409" w:rsidRPr="00706409" w:rsidRDefault="00F641D9" w:rsidP="00706409">
      <w:pPr>
        <w:tabs>
          <w:tab w:val="left" w:pos="426"/>
        </w:tabs>
        <w:spacing w:after="0" w:line="240" w:lineRule="auto"/>
        <w:ind w:left="360" w:hanging="360"/>
        <w:jc w:val="both"/>
        <w:rPr>
          <w:rFonts w:ascii="Arial" w:hAnsi="Arial" w:cs="Arial"/>
          <w:sz w:val="24"/>
          <w:szCs w:val="24"/>
        </w:rPr>
      </w:pPr>
    </w:p>
    <w:p w:rsidR="00706409" w:rsidRPr="00706409" w:rsidRDefault="00D205EF" w:rsidP="00706409">
      <w:pPr>
        <w:tabs>
          <w:tab w:val="left" w:pos="426"/>
        </w:tabs>
        <w:spacing w:after="0" w:line="240" w:lineRule="auto"/>
        <w:ind w:left="360" w:hanging="360"/>
        <w:jc w:val="both"/>
        <w:rPr>
          <w:rFonts w:ascii="Arial" w:hAnsi="Arial" w:cs="Arial"/>
          <w:sz w:val="24"/>
          <w:szCs w:val="24"/>
        </w:rPr>
      </w:pPr>
      <w:r w:rsidRPr="00706409">
        <w:rPr>
          <w:rFonts w:ascii="Arial" w:hAnsi="Arial" w:cs="Arial"/>
          <w:sz w:val="24"/>
          <w:szCs w:val="24"/>
        </w:rPr>
        <w:t xml:space="preserve">4.9 Whilst development activity is subject to market demand and commercial </w:t>
      </w:r>
    </w:p>
    <w:p w:rsidR="00706409" w:rsidRPr="00706409" w:rsidRDefault="00D205EF" w:rsidP="00706409">
      <w:pPr>
        <w:tabs>
          <w:tab w:val="left" w:pos="426"/>
        </w:tabs>
        <w:spacing w:after="0" w:line="240" w:lineRule="auto"/>
        <w:ind w:left="360" w:firstLine="66"/>
        <w:jc w:val="both"/>
        <w:rPr>
          <w:rFonts w:ascii="Arial" w:hAnsi="Arial" w:cs="Arial"/>
          <w:b/>
          <w:sz w:val="24"/>
          <w:szCs w:val="24"/>
        </w:rPr>
      </w:pPr>
      <w:proofErr w:type="gramStart"/>
      <w:r w:rsidRPr="00706409">
        <w:rPr>
          <w:rFonts w:ascii="Arial" w:hAnsi="Arial" w:cs="Arial"/>
          <w:sz w:val="24"/>
          <w:szCs w:val="24"/>
        </w:rPr>
        <w:t>opportunities</w:t>
      </w:r>
      <w:proofErr w:type="gramEnd"/>
      <w:r w:rsidRPr="00706409">
        <w:rPr>
          <w:rFonts w:ascii="Arial" w:hAnsi="Arial" w:cs="Arial"/>
          <w:sz w:val="24"/>
          <w:szCs w:val="24"/>
        </w:rPr>
        <w:t>, partners are working to ensure that future targets are met by:</w:t>
      </w:r>
    </w:p>
    <w:p w:rsidR="00706409" w:rsidRPr="00706409" w:rsidRDefault="00F641D9" w:rsidP="00F641D9">
      <w:pPr>
        <w:tabs>
          <w:tab w:val="left" w:pos="0"/>
        </w:tabs>
        <w:spacing w:after="0" w:line="240" w:lineRule="auto"/>
        <w:jc w:val="both"/>
        <w:rPr>
          <w:rFonts w:ascii="Arial" w:hAnsi="Arial" w:cs="Arial"/>
          <w:sz w:val="24"/>
          <w:szCs w:val="24"/>
        </w:rPr>
      </w:pPr>
    </w:p>
    <w:p w:rsidR="00706409" w:rsidRDefault="00D205EF" w:rsidP="00F641D9">
      <w:pPr>
        <w:numPr>
          <w:ilvl w:val="0"/>
          <w:numId w:val="8"/>
        </w:numPr>
        <w:tabs>
          <w:tab w:val="left" w:pos="426"/>
        </w:tabs>
        <w:spacing w:after="0" w:line="240" w:lineRule="auto"/>
        <w:contextualSpacing/>
        <w:jc w:val="both"/>
        <w:rPr>
          <w:rFonts w:ascii="Arial" w:hAnsi="Arial" w:cs="Arial"/>
          <w:sz w:val="24"/>
          <w:szCs w:val="24"/>
        </w:rPr>
      </w:pPr>
      <w:r w:rsidRPr="00706409">
        <w:rPr>
          <w:rFonts w:ascii="Arial" w:hAnsi="Arial" w:cs="Arial"/>
          <w:sz w:val="24"/>
          <w:szCs w:val="24"/>
        </w:rPr>
        <w:t xml:space="preserve">Releasing land – progress is being maintained on making land available for development, in particular on public sector land in Preston East and at Lancashire Central, </w:t>
      </w:r>
      <w:proofErr w:type="spellStart"/>
      <w:r w:rsidRPr="00706409">
        <w:rPr>
          <w:rFonts w:ascii="Arial" w:hAnsi="Arial" w:cs="Arial"/>
          <w:sz w:val="24"/>
          <w:szCs w:val="24"/>
        </w:rPr>
        <w:t>Cuerden</w:t>
      </w:r>
      <w:proofErr w:type="spellEnd"/>
      <w:r w:rsidRPr="00706409">
        <w:rPr>
          <w:rFonts w:ascii="Arial" w:hAnsi="Arial" w:cs="Arial"/>
          <w:sz w:val="24"/>
          <w:szCs w:val="24"/>
        </w:rPr>
        <w:t xml:space="preserve">. There has been a recent acquisition of a large site by </w:t>
      </w:r>
      <w:proofErr w:type="spellStart"/>
      <w:r w:rsidRPr="00706409">
        <w:rPr>
          <w:rFonts w:ascii="Arial" w:hAnsi="Arial" w:cs="Arial"/>
          <w:sz w:val="24"/>
          <w:szCs w:val="24"/>
        </w:rPr>
        <w:t>Barnfield</w:t>
      </w:r>
      <w:proofErr w:type="spellEnd"/>
      <w:r w:rsidRPr="00706409">
        <w:rPr>
          <w:rFonts w:ascii="Arial" w:hAnsi="Arial" w:cs="Arial"/>
          <w:sz w:val="24"/>
          <w:szCs w:val="24"/>
        </w:rPr>
        <w:t xml:space="preserve">/Henry Boot Developments in Preston East and a development programme is being considered, whilst work is ongoing in respect of </w:t>
      </w:r>
      <w:proofErr w:type="spellStart"/>
      <w:r w:rsidRPr="00706409">
        <w:rPr>
          <w:rFonts w:ascii="Arial" w:hAnsi="Arial" w:cs="Arial"/>
          <w:sz w:val="24"/>
          <w:szCs w:val="24"/>
        </w:rPr>
        <w:t>Farington</w:t>
      </w:r>
      <w:proofErr w:type="spellEnd"/>
      <w:r w:rsidRPr="00706409">
        <w:rPr>
          <w:rFonts w:ascii="Arial" w:hAnsi="Arial" w:cs="Arial"/>
          <w:sz w:val="24"/>
          <w:szCs w:val="24"/>
        </w:rPr>
        <w:t xml:space="preserve"> Hall Estate in South </w:t>
      </w:r>
      <w:proofErr w:type="spellStart"/>
      <w:r w:rsidRPr="00706409">
        <w:rPr>
          <w:rFonts w:ascii="Arial" w:hAnsi="Arial" w:cs="Arial"/>
          <w:sz w:val="24"/>
          <w:szCs w:val="24"/>
        </w:rPr>
        <w:t>Ribble</w:t>
      </w:r>
      <w:proofErr w:type="spellEnd"/>
      <w:r w:rsidRPr="00706409">
        <w:rPr>
          <w:rFonts w:ascii="Arial" w:hAnsi="Arial" w:cs="Arial"/>
          <w:sz w:val="24"/>
          <w:szCs w:val="24"/>
        </w:rPr>
        <w:t xml:space="preserve"> where there has been recent developer interest, and a planning application is being progressed for Moss Side Test Track where there is signi</w:t>
      </w:r>
      <w:r w:rsidR="00F641D9">
        <w:rPr>
          <w:rFonts w:ascii="Arial" w:hAnsi="Arial" w:cs="Arial"/>
          <w:sz w:val="24"/>
          <w:szCs w:val="24"/>
        </w:rPr>
        <w:t>ficant commercial opportunity.</w:t>
      </w:r>
    </w:p>
    <w:p w:rsidR="00F641D9" w:rsidRPr="00706409" w:rsidRDefault="00F641D9" w:rsidP="00F641D9">
      <w:pPr>
        <w:tabs>
          <w:tab w:val="left" w:pos="426"/>
        </w:tabs>
        <w:spacing w:after="0" w:line="240" w:lineRule="auto"/>
        <w:ind w:left="927"/>
        <w:contextualSpacing/>
        <w:jc w:val="both"/>
        <w:rPr>
          <w:rFonts w:ascii="Arial" w:hAnsi="Arial" w:cs="Arial"/>
          <w:sz w:val="24"/>
          <w:szCs w:val="24"/>
        </w:rPr>
      </w:pPr>
    </w:p>
    <w:p w:rsidR="00706409" w:rsidRDefault="00D205EF" w:rsidP="00F641D9">
      <w:pPr>
        <w:numPr>
          <w:ilvl w:val="0"/>
          <w:numId w:val="8"/>
        </w:numPr>
        <w:tabs>
          <w:tab w:val="left" w:pos="426"/>
        </w:tabs>
        <w:spacing w:after="0" w:line="240" w:lineRule="auto"/>
        <w:contextualSpacing/>
        <w:jc w:val="both"/>
        <w:rPr>
          <w:rFonts w:ascii="Arial" w:hAnsi="Arial" w:cs="Arial"/>
          <w:sz w:val="24"/>
          <w:szCs w:val="24"/>
        </w:rPr>
      </w:pPr>
      <w:r w:rsidRPr="00706409">
        <w:rPr>
          <w:rFonts w:ascii="Arial" w:hAnsi="Arial" w:cs="Arial"/>
          <w:sz w:val="24"/>
          <w:szCs w:val="24"/>
        </w:rPr>
        <w:t xml:space="preserve">Developing the city centre – a range of activities are being undertaken to develop and implement city-wide schemes, with ongoing </w:t>
      </w:r>
      <w:proofErr w:type="spellStart"/>
      <w:r w:rsidRPr="00706409">
        <w:rPr>
          <w:rFonts w:ascii="Arial" w:hAnsi="Arial" w:cs="Arial"/>
          <w:sz w:val="24"/>
          <w:szCs w:val="24"/>
        </w:rPr>
        <w:t>UCLan</w:t>
      </w:r>
      <w:proofErr w:type="spellEnd"/>
      <w:r w:rsidRPr="00706409">
        <w:rPr>
          <w:rFonts w:ascii="Arial" w:hAnsi="Arial" w:cs="Arial"/>
          <w:sz w:val="24"/>
          <w:szCs w:val="24"/>
        </w:rPr>
        <w:t xml:space="preserve"> masterplan delivery, complementary public realm schemes underway, progression of an office/hotel scheme business case and development of ke</w:t>
      </w:r>
      <w:r w:rsidR="00F641D9">
        <w:rPr>
          <w:rFonts w:ascii="Arial" w:hAnsi="Arial" w:cs="Arial"/>
          <w:sz w:val="24"/>
          <w:szCs w:val="24"/>
        </w:rPr>
        <w:t>y leisure scheme proposals.</w:t>
      </w:r>
    </w:p>
    <w:p w:rsidR="00F641D9" w:rsidRDefault="00F641D9" w:rsidP="00F641D9">
      <w:pPr>
        <w:pStyle w:val="ListParagraph"/>
        <w:rPr>
          <w:rFonts w:ascii="Arial" w:hAnsi="Arial" w:cs="Arial"/>
          <w:sz w:val="24"/>
          <w:szCs w:val="24"/>
        </w:rPr>
      </w:pPr>
    </w:p>
    <w:p w:rsidR="00F641D9" w:rsidRPr="00706409" w:rsidRDefault="00F641D9" w:rsidP="00F641D9">
      <w:pPr>
        <w:tabs>
          <w:tab w:val="left" w:pos="426"/>
        </w:tabs>
        <w:spacing w:after="0" w:line="240" w:lineRule="auto"/>
        <w:ind w:left="927"/>
        <w:contextualSpacing/>
        <w:jc w:val="both"/>
        <w:rPr>
          <w:rFonts w:ascii="Arial" w:hAnsi="Arial" w:cs="Arial"/>
          <w:sz w:val="24"/>
          <w:szCs w:val="24"/>
        </w:rPr>
      </w:pPr>
    </w:p>
    <w:p w:rsidR="00706409" w:rsidRDefault="00D205EF" w:rsidP="00F641D9">
      <w:pPr>
        <w:numPr>
          <w:ilvl w:val="0"/>
          <w:numId w:val="8"/>
        </w:numPr>
        <w:tabs>
          <w:tab w:val="left" w:pos="426"/>
        </w:tabs>
        <w:spacing w:after="0" w:line="240" w:lineRule="auto"/>
        <w:contextualSpacing/>
        <w:jc w:val="both"/>
        <w:rPr>
          <w:rFonts w:ascii="Arial" w:hAnsi="Arial" w:cs="Arial"/>
          <w:sz w:val="24"/>
          <w:szCs w:val="24"/>
        </w:rPr>
      </w:pPr>
      <w:r w:rsidRPr="00706409">
        <w:rPr>
          <w:rFonts w:ascii="Arial" w:hAnsi="Arial" w:cs="Arial"/>
          <w:sz w:val="24"/>
          <w:szCs w:val="24"/>
        </w:rPr>
        <w:lastRenderedPageBreak/>
        <w:t xml:space="preserve">Marketing - implementation of a Marketing &amp; Communications Plan continues to generate investor interest. Recent activities include an update on key sites at a Place North West Event. </w:t>
      </w:r>
    </w:p>
    <w:p w:rsidR="00F641D9" w:rsidRPr="00706409" w:rsidRDefault="00F641D9" w:rsidP="00F641D9">
      <w:pPr>
        <w:tabs>
          <w:tab w:val="left" w:pos="426"/>
        </w:tabs>
        <w:spacing w:after="0" w:line="240" w:lineRule="auto"/>
        <w:ind w:left="927"/>
        <w:contextualSpacing/>
        <w:jc w:val="both"/>
        <w:rPr>
          <w:rFonts w:ascii="Arial" w:hAnsi="Arial" w:cs="Arial"/>
          <w:sz w:val="24"/>
          <w:szCs w:val="24"/>
        </w:rPr>
      </w:pPr>
    </w:p>
    <w:p w:rsidR="00706409" w:rsidRPr="00706409" w:rsidRDefault="00D205EF" w:rsidP="00F641D9">
      <w:pPr>
        <w:numPr>
          <w:ilvl w:val="0"/>
          <w:numId w:val="8"/>
        </w:numPr>
        <w:tabs>
          <w:tab w:val="left" w:pos="426"/>
        </w:tabs>
        <w:spacing w:after="0" w:line="240" w:lineRule="auto"/>
        <w:contextualSpacing/>
        <w:jc w:val="both"/>
        <w:rPr>
          <w:rFonts w:ascii="Arial" w:hAnsi="Arial" w:cs="Arial"/>
          <w:sz w:val="24"/>
          <w:szCs w:val="24"/>
        </w:rPr>
      </w:pPr>
      <w:r w:rsidRPr="00706409">
        <w:rPr>
          <w:rFonts w:ascii="Arial" w:hAnsi="Arial" w:cs="Arial"/>
          <w:sz w:val="24"/>
          <w:szCs w:val="24"/>
        </w:rPr>
        <w:t>Supporting Growth – a strong business support programme (BOOST) is generating jobs growth, whilst skills support activities are helping to facilitate company growth. An enquiry handling service facilitates inwar</w:t>
      </w:r>
      <w:r w:rsidR="00F641D9">
        <w:rPr>
          <w:rFonts w:ascii="Arial" w:hAnsi="Arial" w:cs="Arial"/>
          <w:sz w:val="24"/>
          <w:szCs w:val="24"/>
        </w:rPr>
        <w:t>d investment activity.</w:t>
      </w:r>
    </w:p>
    <w:p w:rsidR="00706409" w:rsidRPr="00706409" w:rsidRDefault="00F641D9" w:rsidP="00706409">
      <w:pPr>
        <w:spacing w:after="0" w:line="240" w:lineRule="auto"/>
        <w:jc w:val="both"/>
        <w:rPr>
          <w:rFonts w:ascii="Arial" w:hAnsi="Arial" w:cs="Arial"/>
          <w:b/>
          <w:sz w:val="24"/>
          <w:szCs w:val="24"/>
        </w:rPr>
      </w:pPr>
    </w:p>
    <w:p w:rsidR="00706409" w:rsidRPr="00706409" w:rsidRDefault="00D205EF" w:rsidP="00706409">
      <w:pPr>
        <w:spacing w:after="0" w:line="240" w:lineRule="auto"/>
        <w:jc w:val="both"/>
        <w:rPr>
          <w:rFonts w:ascii="Arial" w:hAnsi="Arial" w:cs="Arial"/>
          <w:b/>
          <w:sz w:val="24"/>
          <w:szCs w:val="24"/>
        </w:rPr>
      </w:pPr>
      <w:r w:rsidRPr="00706409">
        <w:rPr>
          <w:rFonts w:ascii="Arial" w:hAnsi="Arial" w:cs="Arial"/>
          <w:b/>
          <w:sz w:val="24"/>
          <w:szCs w:val="24"/>
        </w:rPr>
        <w:t xml:space="preserve">5.0 Jobs related to commercial </w:t>
      </w:r>
      <w:proofErr w:type="spellStart"/>
      <w:r w:rsidRPr="00706409">
        <w:rPr>
          <w:rFonts w:ascii="Arial" w:hAnsi="Arial" w:cs="Arial"/>
          <w:b/>
          <w:sz w:val="24"/>
          <w:szCs w:val="24"/>
        </w:rPr>
        <w:t>floorspace</w:t>
      </w:r>
      <w:proofErr w:type="spellEnd"/>
    </w:p>
    <w:p w:rsidR="00706409" w:rsidRPr="00706409" w:rsidRDefault="00F641D9" w:rsidP="00706409">
      <w:pPr>
        <w:spacing w:after="0" w:line="240" w:lineRule="auto"/>
        <w:jc w:val="both"/>
        <w:rPr>
          <w:rFonts w:ascii="Arial" w:hAnsi="Arial" w:cs="Arial"/>
          <w:b/>
          <w:sz w:val="24"/>
          <w:szCs w:val="24"/>
        </w:rPr>
      </w:pPr>
    </w:p>
    <w:p w:rsidR="00706409" w:rsidRPr="00706409" w:rsidRDefault="00F641D9" w:rsidP="00F641D9">
      <w:pPr>
        <w:spacing w:after="0" w:line="240" w:lineRule="auto"/>
        <w:ind w:left="426" w:hanging="426"/>
        <w:jc w:val="both"/>
        <w:rPr>
          <w:rFonts w:ascii="Arial" w:hAnsi="Arial" w:cs="Arial"/>
          <w:sz w:val="24"/>
          <w:szCs w:val="24"/>
        </w:rPr>
      </w:pPr>
      <w:r>
        <w:rPr>
          <w:rFonts w:ascii="Arial" w:hAnsi="Arial" w:cs="Arial"/>
          <w:sz w:val="24"/>
          <w:szCs w:val="24"/>
        </w:rPr>
        <w:t xml:space="preserve">5.1 </w:t>
      </w:r>
      <w:r w:rsidR="00D205EF" w:rsidRPr="00706409">
        <w:rPr>
          <w:rFonts w:ascii="Arial" w:hAnsi="Arial" w:cs="Arial"/>
          <w:sz w:val="24"/>
          <w:szCs w:val="24"/>
        </w:rPr>
        <w:t xml:space="preserve">There have been a total of </w:t>
      </w:r>
      <w:r w:rsidR="00D205EF" w:rsidRPr="00706409">
        <w:rPr>
          <w:rFonts w:ascii="Arial" w:hAnsi="Arial" w:cs="Arial"/>
          <w:b/>
          <w:sz w:val="24"/>
          <w:szCs w:val="24"/>
        </w:rPr>
        <w:t>1,711</w:t>
      </w:r>
      <w:r w:rsidR="00D205EF" w:rsidRPr="00706409">
        <w:rPr>
          <w:rFonts w:ascii="Arial" w:hAnsi="Arial" w:cs="Arial"/>
          <w:sz w:val="24"/>
          <w:szCs w:val="24"/>
        </w:rPr>
        <w:t xml:space="preserve"> jobs in 2018/19 that are associated with City Deal commercial </w:t>
      </w:r>
      <w:proofErr w:type="spellStart"/>
      <w:r w:rsidR="00D205EF" w:rsidRPr="00706409">
        <w:rPr>
          <w:rFonts w:ascii="Arial" w:hAnsi="Arial" w:cs="Arial"/>
          <w:sz w:val="24"/>
          <w:szCs w:val="24"/>
        </w:rPr>
        <w:t>floorspace</w:t>
      </w:r>
      <w:proofErr w:type="spellEnd"/>
      <w:r w:rsidR="00D205EF" w:rsidRPr="00706409">
        <w:rPr>
          <w:rFonts w:ascii="Arial" w:hAnsi="Arial" w:cs="Arial"/>
          <w:sz w:val="24"/>
          <w:szCs w:val="24"/>
        </w:rPr>
        <w:t xml:space="preserve"> completions, new sales and lettings, infrastructure construction and BOOST business support activities. Table 4 below provided a breakdown of jobs targets and outputs.</w:t>
      </w:r>
    </w:p>
    <w:p w:rsidR="00706409" w:rsidRPr="00706409" w:rsidRDefault="00F641D9" w:rsidP="00706409">
      <w:pPr>
        <w:spacing w:after="0" w:line="240" w:lineRule="auto"/>
        <w:ind w:left="567" w:hanging="567"/>
        <w:jc w:val="both"/>
        <w:rPr>
          <w:rFonts w:ascii="Arial" w:hAnsi="Arial" w:cs="Arial"/>
          <w:sz w:val="24"/>
          <w:szCs w:val="24"/>
        </w:rPr>
      </w:pPr>
    </w:p>
    <w:p w:rsidR="00706409" w:rsidRPr="00706409" w:rsidRDefault="00D205EF" w:rsidP="00706409">
      <w:pPr>
        <w:spacing w:after="0" w:line="240" w:lineRule="auto"/>
        <w:ind w:left="284" w:hanging="426"/>
        <w:jc w:val="both"/>
        <w:rPr>
          <w:rFonts w:ascii="Arial" w:hAnsi="Arial" w:cs="Arial"/>
          <w:b/>
          <w:sz w:val="24"/>
          <w:szCs w:val="24"/>
          <w:u w:val="single"/>
        </w:rPr>
      </w:pPr>
      <w:r w:rsidRPr="00706409">
        <w:rPr>
          <w:rFonts w:ascii="Arial" w:hAnsi="Arial" w:cs="Arial"/>
          <w:b/>
          <w:sz w:val="24"/>
          <w:szCs w:val="24"/>
          <w:u w:val="single"/>
        </w:rPr>
        <w:t>Table 4:  Jobs – outputs</w:t>
      </w:r>
    </w:p>
    <w:p w:rsidR="00706409" w:rsidRPr="00706409" w:rsidRDefault="00F641D9" w:rsidP="00706409">
      <w:pPr>
        <w:spacing w:after="0" w:line="240" w:lineRule="auto"/>
        <w:ind w:left="284" w:hanging="426"/>
        <w:jc w:val="both"/>
        <w:rPr>
          <w:rFonts w:ascii="Arial" w:hAnsi="Arial" w:cs="Arial"/>
          <w:b/>
          <w:sz w:val="24"/>
          <w:szCs w:val="24"/>
          <w:u w:val="single"/>
        </w:rPr>
      </w:pPr>
    </w:p>
    <w:tbl>
      <w:tblPr>
        <w:tblStyle w:val="TableGrid1"/>
        <w:tblW w:w="5000" w:type="pct"/>
        <w:tblLayout w:type="fixed"/>
        <w:tblLook w:val="04A0" w:firstRow="1" w:lastRow="0" w:firstColumn="1" w:lastColumn="0" w:noHBand="0" w:noVBand="1"/>
      </w:tblPr>
      <w:tblGrid>
        <w:gridCol w:w="3495"/>
        <w:gridCol w:w="1941"/>
        <w:gridCol w:w="1790"/>
        <w:gridCol w:w="1790"/>
      </w:tblGrid>
      <w:tr w:rsidR="00DB20DF" w:rsidTr="00D30CB8">
        <w:tc>
          <w:tcPr>
            <w:tcW w:w="4390" w:type="dxa"/>
            <w:tcBorders>
              <w:top w:val="single" w:sz="4" w:space="0" w:color="auto"/>
              <w:left w:val="single" w:sz="4" w:space="0" w:color="auto"/>
              <w:bottom w:val="single" w:sz="4" w:space="0" w:color="auto"/>
              <w:right w:val="single" w:sz="4" w:space="0" w:color="auto"/>
            </w:tcBorders>
            <w:hideMark/>
          </w:tcPr>
          <w:p w:rsidR="00706409" w:rsidRPr="00706409" w:rsidRDefault="00D205EF" w:rsidP="00706409">
            <w:pPr>
              <w:jc w:val="both"/>
              <w:rPr>
                <w:rFonts w:ascii="Arial" w:hAnsi="Arial" w:cs="Arial"/>
                <w:b/>
                <w:sz w:val="24"/>
                <w:szCs w:val="24"/>
              </w:rPr>
            </w:pPr>
            <w:r w:rsidRPr="00706409">
              <w:rPr>
                <w:rFonts w:ascii="Arial" w:hAnsi="Arial" w:cs="Arial"/>
                <w:b/>
                <w:sz w:val="24"/>
                <w:szCs w:val="24"/>
              </w:rPr>
              <w:t>Jobs outputs</w:t>
            </w:r>
          </w:p>
        </w:tc>
        <w:tc>
          <w:tcPr>
            <w:tcW w:w="2409" w:type="dxa"/>
            <w:tcBorders>
              <w:top w:val="single" w:sz="4" w:space="0" w:color="auto"/>
              <w:left w:val="single" w:sz="4" w:space="0" w:color="auto"/>
              <w:bottom w:val="single" w:sz="4" w:space="0" w:color="auto"/>
              <w:right w:val="single" w:sz="4" w:space="0" w:color="auto"/>
            </w:tcBorders>
            <w:hideMark/>
          </w:tcPr>
          <w:p w:rsidR="00706409" w:rsidRPr="00706409" w:rsidRDefault="00D205EF" w:rsidP="00706409">
            <w:pPr>
              <w:rPr>
                <w:rFonts w:ascii="Arial" w:hAnsi="Arial" w:cs="Arial"/>
                <w:b/>
                <w:sz w:val="24"/>
                <w:szCs w:val="24"/>
              </w:rPr>
            </w:pPr>
            <w:r w:rsidRPr="00706409">
              <w:rPr>
                <w:rFonts w:ascii="Arial" w:hAnsi="Arial" w:cs="Arial"/>
                <w:b/>
                <w:sz w:val="24"/>
                <w:szCs w:val="24"/>
              </w:rPr>
              <w:t>2018/19 Trajectory</w:t>
            </w:r>
          </w:p>
        </w:tc>
        <w:tc>
          <w:tcPr>
            <w:tcW w:w="2217" w:type="dxa"/>
            <w:tcBorders>
              <w:top w:val="single" w:sz="4" w:space="0" w:color="auto"/>
              <w:left w:val="single" w:sz="4" w:space="0" w:color="auto"/>
              <w:bottom w:val="single" w:sz="4" w:space="0" w:color="auto"/>
              <w:right w:val="single" w:sz="4" w:space="0" w:color="auto"/>
            </w:tcBorders>
            <w:hideMark/>
          </w:tcPr>
          <w:p w:rsidR="00706409" w:rsidRPr="00706409" w:rsidRDefault="00D205EF" w:rsidP="00706409">
            <w:pPr>
              <w:rPr>
                <w:rFonts w:ascii="Arial" w:hAnsi="Arial" w:cs="Arial"/>
                <w:b/>
                <w:sz w:val="24"/>
                <w:szCs w:val="24"/>
              </w:rPr>
            </w:pPr>
            <w:r w:rsidRPr="00706409">
              <w:rPr>
                <w:rFonts w:ascii="Arial" w:hAnsi="Arial" w:cs="Arial"/>
                <w:b/>
                <w:sz w:val="24"/>
                <w:szCs w:val="24"/>
              </w:rPr>
              <w:t>2018/19 Actual</w:t>
            </w:r>
          </w:p>
        </w:tc>
        <w:tc>
          <w:tcPr>
            <w:tcW w:w="2217" w:type="dxa"/>
            <w:tcBorders>
              <w:top w:val="single" w:sz="4" w:space="0" w:color="auto"/>
              <w:left w:val="single" w:sz="4" w:space="0" w:color="auto"/>
              <w:bottom w:val="single" w:sz="4" w:space="0" w:color="auto"/>
              <w:right w:val="single" w:sz="4" w:space="0" w:color="auto"/>
            </w:tcBorders>
          </w:tcPr>
          <w:p w:rsidR="00706409" w:rsidRPr="00706409" w:rsidRDefault="00D205EF" w:rsidP="00706409">
            <w:pPr>
              <w:rPr>
                <w:rFonts w:ascii="Arial" w:hAnsi="Arial" w:cs="Arial"/>
                <w:b/>
                <w:sz w:val="24"/>
                <w:szCs w:val="24"/>
              </w:rPr>
            </w:pPr>
            <w:r w:rsidRPr="00706409">
              <w:rPr>
                <w:rFonts w:ascii="Arial" w:hAnsi="Arial" w:cs="Arial"/>
                <w:b/>
                <w:sz w:val="24"/>
                <w:szCs w:val="24"/>
              </w:rPr>
              <w:t>Cumulative</w:t>
            </w:r>
          </w:p>
        </w:tc>
      </w:tr>
      <w:tr w:rsidR="00DB20DF" w:rsidTr="00D30CB8">
        <w:tc>
          <w:tcPr>
            <w:tcW w:w="4390" w:type="dxa"/>
            <w:tcBorders>
              <w:top w:val="single" w:sz="4" w:space="0" w:color="auto"/>
              <w:left w:val="single" w:sz="4" w:space="0" w:color="auto"/>
              <w:bottom w:val="single" w:sz="4" w:space="0" w:color="auto"/>
              <w:right w:val="single" w:sz="4" w:space="0" w:color="auto"/>
            </w:tcBorders>
            <w:hideMark/>
          </w:tcPr>
          <w:p w:rsidR="00706409" w:rsidRPr="00706409" w:rsidRDefault="00D205EF" w:rsidP="00706409">
            <w:pPr>
              <w:rPr>
                <w:rFonts w:ascii="Arial" w:hAnsi="Arial" w:cs="Arial"/>
                <w:sz w:val="24"/>
                <w:szCs w:val="24"/>
              </w:rPr>
            </w:pPr>
            <w:r w:rsidRPr="00706409">
              <w:rPr>
                <w:rFonts w:ascii="Arial" w:hAnsi="Arial" w:cs="Arial"/>
                <w:sz w:val="24"/>
                <w:szCs w:val="24"/>
              </w:rPr>
              <w:t>Jobs accommodated</w:t>
            </w:r>
          </w:p>
          <w:p w:rsidR="00706409" w:rsidRPr="00706409" w:rsidRDefault="00D205EF" w:rsidP="00706409">
            <w:pPr>
              <w:numPr>
                <w:ilvl w:val="0"/>
                <w:numId w:val="5"/>
              </w:numPr>
              <w:rPr>
                <w:rFonts w:ascii="Arial" w:hAnsi="Arial" w:cs="Arial"/>
                <w:sz w:val="24"/>
                <w:szCs w:val="24"/>
              </w:rPr>
            </w:pPr>
            <w:r w:rsidRPr="00706409">
              <w:rPr>
                <w:rFonts w:ascii="Arial" w:hAnsi="Arial" w:cs="Arial"/>
                <w:sz w:val="24"/>
                <w:szCs w:val="24"/>
              </w:rPr>
              <w:t xml:space="preserve">Via commercial </w:t>
            </w:r>
            <w:proofErr w:type="spellStart"/>
            <w:r w:rsidRPr="00706409">
              <w:rPr>
                <w:rFonts w:ascii="Arial" w:hAnsi="Arial" w:cs="Arial"/>
                <w:sz w:val="24"/>
                <w:szCs w:val="24"/>
              </w:rPr>
              <w:t>floorspace</w:t>
            </w:r>
            <w:proofErr w:type="spellEnd"/>
            <w:r w:rsidRPr="00706409">
              <w:rPr>
                <w:rFonts w:ascii="Arial" w:hAnsi="Arial" w:cs="Arial"/>
                <w:sz w:val="24"/>
                <w:szCs w:val="24"/>
              </w:rPr>
              <w:t xml:space="preserve"> completions*</w:t>
            </w:r>
          </w:p>
        </w:tc>
        <w:tc>
          <w:tcPr>
            <w:tcW w:w="2409" w:type="dxa"/>
            <w:tcBorders>
              <w:top w:val="single" w:sz="4" w:space="0" w:color="auto"/>
              <w:left w:val="single" w:sz="4" w:space="0" w:color="auto"/>
              <w:bottom w:val="single" w:sz="4" w:space="0" w:color="auto"/>
              <w:right w:val="single" w:sz="4" w:space="0" w:color="auto"/>
            </w:tcBorders>
          </w:tcPr>
          <w:p w:rsidR="00706409" w:rsidRPr="00706409" w:rsidRDefault="00F641D9" w:rsidP="00706409">
            <w:pPr>
              <w:jc w:val="center"/>
              <w:rPr>
                <w:rFonts w:ascii="Arial" w:hAnsi="Arial" w:cs="Arial"/>
                <w:sz w:val="24"/>
                <w:szCs w:val="24"/>
              </w:rPr>
            </w:pPr>
          </w:p>
          <w:p w:rsidR="00706409" w:rsidRPr="00706409" w:rsidRDefault="00D205EF" w:rsidP="00706409">
            <w:pPr>
              <w:jc w:val="center"/>
              <w:rPr>
                <w:rFonts w:ascii="Arial" w:hAnsi="Arial" w:cs="Arial"/>
                <w:sz w:val="24"/>
                <w:szCs w:val="24"/>
              </w:rPr>
            </w:pPr>
            <w:r w:rsidRPr="00706409">
              <w:rPr>
                <w:rFonts w:ascii="Arial" w:hAnsi="Arial" w:cs="Arial"/>
                <w:sz w:val="24"/>
                <w:szCs w:val="24"/>
              </w:rPr>
              <w:t>366</w:t>
            </w:r>
          </w:p>
        </w:tc>
        <w:tc>
          <w:tcPr>
            <w:tcW w:w="2217" w:type="dxa"/>
            <w:tcBorders>
              <w:top w:val="single" w:sz="4" w:space="0" w:color="auto"/>
              <w:left w:val="single" w:sz="4" w:space="0" w:color="auto"/>
              <w:bottom w:val="single" w:sz="4" w:space="0" w:color="auto"/>
              <w:right w:val="single" w:sz="4" w:space="0" w:color="auto"/>
            </w:tcBorders>
          </w:tcPr>
          <w:p w:rsidR="00706409" w:rsidRPr="00706409" w:rsidRDefault="00F641D9" w:rsidP="00706409">
            <w:pPr>
              <w:jc w:val="center"/>
              <w:rPr>
                <w:rFonts w:ascii="Arial" w:hAnsi="Arial" w:cs="Arial"/>
                <w:sz w:val="24"/>
                <w:szCs w:val="24"/>
              </w:rPr>
            </w:pPr>
          </w:p>
          <w:p w:rsidR="00706409" w:rsidRPr="00706409" w:rsidRDefault="00D205EF" w:rsidP="00706409">
            <w:pPr>
              <w:jc w:val="center"/>
              <w:rPr>
                <w:rFonts w:ascii="Arial" w:hAnsi="Arial" w:cs="Arial"/>
                <w:sz w:val="24"/>
                <w:szCs w:val="24"/>
                <w:highlight w:val="cyan"/>
              </w:rPr>
            </w:pPr>
            <w:r w:rsidRPr="00706409">
              <w:rPr>
                <w:rFonts w:ascii="Arial" w:hAnsi="Arial" w:cs="Arial"/>
                <w:sz w:val="24"/>
                <w:szCs w:val="24"/>
              </w:rPr>
              <w:t>193</w:t>
            </w:r>
          </w:p>
        </w:tc>
        <w:tc>
          <w:tcPr>
            <w:tcW w:w="2217" w:type="dxa"/>
            <w:tcBorders>
              <w:top w:val="single" w:sz="4" w:space="0" w:color="auto"/>
              <w:left w:val="single" w:sz="4" w:space="0" w:color="auto"/>
              <w:bottom w:val="single" w:sz="4" w:space="0" w:color="auto"/>
              <w:right w:val="single" w:sz="4" w:space="0" w:color="auto"/>
            </w:tcBorders>
          </w:tcPr>
          <w:p w:rsidR="00706409" w:rsidRPr="00706409" w:rsidRDefault="00F641D9" w:rsidP="00706409">
            <w:pPr>
              <w:jc w:val="center"/>
              <w:rPr>
                <w:rFonts w:ascii="Arial" w:hAnsi="Arial" w:cs="Arial"/>
                <w:sz w:val="24"/>
                <w:szCs w:val="24"/>
              </w:rPr>
            </w:pPr>
          </w:p>
          <w:p w:rsidR="00706409" w:rsidRPr="00706409" w:rsidRDefault="00D205EF" w:rsidP="00706409">
            <w:pPr>
              <w:jc w:val="center"/>
              <w:rPr>
                <w:rFonts w:ascii="Arial" w:hAnsi="Arial" w:cs="Arial"/>
                <w:sz w:val="24"/>
                <w:szCs w:val="24"/>
              </w:rPr>
            </w:pPr>
            <w:r w:rsidRPr="00706409">
              <w:rPr>
                <w:rFonts w:ascii="Arial" w:hAnsi="Arial" w:cs="Arial"/>
                <w:sz w:val="24"/>
                <w:szCs w:val="24"/>
              </w:rPr>
              <w:t>1,485</w:t>
            </w:r>
          </w:p>
        </w:tc>
      </w:tr>
      <w:tr w:rsidR="00DB20DF" w:rsidTr="00D30CB8">
        <w:tc>
          <w:tcPr>
            <w:tcW w:w="4390" w:type="dxa"/>
            <w:tcBorders>
              <w:top w:val="single" w:sz="4" w:space="0" w:color="auto"/>
              <w:left w:val="single" w:sz="4" w:space="0" w:color="auto"/>
              <w:bottom w:val="single" w:sz="4" w:space="0" w:color="auto"/>
              <w:right w:val="single" w:sz="4" w:space="0" w:color="auto"/>
            </w:tcBorders>
          </w:tcPr>
          <w:p w:rsidR="00706409" w:rsidRPr="00706409" w:rsidRDefault="00D205EF" w:rsidP="00706409">
            <w:pPr>
              <w:numPr>
                <w:ilvl w:val="0"/>
                <w:numId w:val="5"/>
              </w:numPr>
              <w:rPr>
                <w:rFonts w:ascii="Arial" w:hAnsi="Arial" w:cs="Arial"/>
                <w:sz w:val="24"/>
                <w:szCs w:val="24"/>
              </w:rPr>
            </w:pPr>
            <w:r w:rsidRPr="00706409">
              <w:rPr>
                <w:rFonts w:ascii="Arial" w:hAnsi="Arial" w:cs="Arial"/>
                <w:sz w:val="24"/>
                <w:szCs w:val="24"/>
              </w:rPr>
              <w:t>Jobs associated with new sales &amp; lettings</w:t>
            </w:r>
          </w:p>
        </w:tc>
        <w:tc>
          <w:tcPr>
            <w:tcW w:w="2409" w:type="dxa"/>
            <w:tcBorders>
              <w:top w:val="single" w:sz="4" w:space="0" w:color="auto"/>
              <w:left w:val="single" w:sz="4" w:space="0" w:color="auto"/>
              <w:bottom w:val="single" w:sz="4" w:space="0" w:color="auto"/>
              <w:right w:val="single" w:sz="4" w:space="0" w:color="auto"/>
            </w:tcBorders>
          </w:tcPr>
          <w:p w:rsidR="00706409" w:rsidRPr="00706409" w:rsidRDefault="00D205EF" w:rsidP="00706409">
            <w:pPr>
              <w:jc w:val="center"/>
              <w:rPr>
                <w:rFonts w:ascii="Arial" w:hAnsi="Arial" w:cs="Arial"/>
                <w:sz w:val="24"/>
                <w:szCs w:val="24"/>
              </w:rPr>
            </w:pPr>
            <w:r w:rsidRPr="00706409">
              <w:rPr>
                <w:rFonts w:ascii="Arial" w:hAnsi="Arial" w:cs="Arial"/>
                <w:sz w:val="24"/>
                <w:szCs w:val="24"/>
              </w:rPr>
              <w:t>N/a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rsidR="00706409" w:rsidRPr="00706409" w:rsidRDefault="00D205EF" w:rsidP="00706409">
            <w:pPr>
              <w:jc w:val="center"/>
              <w:rPr>
                <w:rFonts w:ascii="Arial" w:hAnsi="Arial" w:cs="Arial"/>
                <w:color w:val="FF0000"/>
                <w:sz w:val="24"/>
                <w:szCs w:val="24"/>
              </w:rPr>
            </w:pPr>
            <w:r w:rsidRPr="00706409">
              <w:rPr>
                <w:rFonts w:ascii="Arial" w:hAnsi="Arial" w:cs="Arial"/>
                <w:sz w:val="24"/>
                <w:szCs w:val="24"/>
              </w:rPr>
              <w:t>1,129</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rsidR="00706409" w:rsidRPr="00706409" w:rsidRDefault="00D205EF" w:rsidP="00706409">
            <w:pPr>
              <w:jc w:val="center"/>
              <w:rPr>
                <w:rFonts w:ascii="Arial" w:hAnsi="Arial" w:cs="Arial"/>
                <w:sz w:val="24"/>
                <w:szCs w:val="24"/>
              </w:rPr>
            </w:pPr>
            <w:r w:rsidRPr="00706409">
              <w:rPr>
                <w:rFonts w:ascii="Arial" w:hAnsi="Arial" w:cs="Arial"/>
                <w:sz w:val="24"/>
                <w:szCs w:val="24"/>
              </w:rPr>
              <w:t>10,974</w:t>
            </w:r>
          </w:p>
        </w:tc>
      </w:tr>
      <w:tr w:rsidR="00DB20DF" w:rsidTr="00D30CB8">
        <w:tc>
          <w:tcPr>
            <w:tcW w:w="4390" w:type="dxa"/>
            <w:tcBorders>
              <w:top w:val="single" w:sz="4" w:space="0" w:color="auto"/>
              <w:left w:val="single" w:sz="4" w:space="0" w:color="auto"/>
              <w:bottom w:val="single" w:sz="4" w:space="0" w:color="auto"/>
              <w:right w:val="single" w:sz="4" w:space="0" w:color="auto"/>
            </w:tcBorders>
            <w:hideMark/>
          </w:tcPr>
          <w:p w:rsidR="00706409" w:rsidRPr="00706409" w:rsidRDefault="00D205EF" w:rsidP="00706409">
            <w:pPr>
              <w:numPr>
                <w:ilvl w:val="0"/>
                <w:numId w:val="5"/>
              </w:numPr>
              <w:rPr>
                <w:rFonts w:ascii="Arial" w:hAnsi="Arial" w:cs="Arial"/>
                <w:sz w:val="24"/>
                <w:szCs w:val="24"/>
              </w:rPr>
            </w:pPr>
            <w:r w:rsidRPr="00706409">
              <w:rPr>
                <w:rFonts w:ascii="Arial" w:hAnsi="Arial" w:cs="Arial"/>
                <w:sz w:val="24"/>
                <w:szCs w:val="24"/>
              </w:rPr>
              <w:t xml:space="preserve">Construction jobs connected to Capital Investment** </w:t>
            </w:r>
          </w:p>
        </w:tc>
        <w:tc>
          <w:tcPr>
            <w:tcW w:w="2409" w:type="dxa"/>
            <w:tcBorders>
              <w:top w:val="single" w:sz="4" w:space="0" w:color="auto"/>
              <w:left w:val="single" w:sz="4" w:space="0" w:color="auto"/>
              <w:bottom w:val="single" w:sz="4" w:space="0" w:color="auto"/>
              <w:right w:val="single" w:sz="4" w:space="0" w:color="auto"/>
            </w:tcBorders>
          </w:tcPr>
          <w:p w:rsidR="00706409" w:rsidRPr="00706409" w:rsidRDefault="00D205EF" w:rsidP="00706409">
            <w:pPr>
              <w:jc w:val="center"/>
              <w:rPr>
                <w:rFonts w:ascii="Arial" w:hAnsi="Arial" w:cs="Arial"/>
                <w:sz w:val="24"/>
                <w:szCs w:val="24"/>
              </w:rPr>
            </w:pPr>
            <w:r w:rsidRPr="00706409">
              <w:rPr>
                <w:rFonts w:ascii="Arial" w:hAnsi="Arial" w:cs="Arial"/>
                <w:sz w:val="24"/>
                <w:szCs w:val="24"/>
              </w:rPr>
              <w:t>N/a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rsidR="00706409" w:rsidRPr="00706409" w:rsidRDefault="00D205EF" w:rsidP="00706409">
            <w:pPr>
              <w:jc w:val="center"/>
              <w:rPr>
                <w:rFonts w:ascii="Arial" w:hAnsi="Arial" w:cs="Arial"/>
                <w:color w:val="FF0000"/>
                <w:sz w:val="24"/>
                <w:szCs w:val="24"/>
                <w:highlight w:val="cyan"/>
              </w:rPr>
            </w:pPr>
            <w:r w:rsidRPr="00706409">
              <w:rPr>
                <w:rFonts w:ascii="Arial" w:hAnsi="Arial" w:cs="Arial"/>
                <w:sz w:val="24"/>
                <w:szCs w:val="24"/>
              </w:rPr>
              <w:t xml:space="preserve">321 </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rsidR="00706409" w:rsidRPr="00706409" w:rsidRDefault="00D205EF" w:rsidP="00706409">
            <w:pPr>
              <w:jc w:val="center"/>
              <w:rPr>
                <w:rFonts w:ascii="Arial" w:hAnsi="Arial" w:cs="Arial"/>
                <w:sz w:val="24"/>
                <w:szCs w:val="24"/>
              </w:rPr>
            </w:pPr>
            <w:r w:rsidRPr="00706409">
              <w:rPr>
                <w:rFonts w:ascii="Arial" w:hAnsi="Arial" w:cs="Arial"/>
                <w:sz w:val="24"/>
                <w:szCs w:val="24"/>
              </w:rPr>
              <w:t>1,893</w:t>
            </w:r>
          </w:p>
        </w:tc>
      </w:tr>
      <w:tr w:rsidR="00DB20DF" w:rsidTr="00D30CB8">
        <w:tc>
          <w:tcPr>
            <w:tcW w:w="4390" w:type="dxa"/>
            <w:tcBorders>
              <w:top w:val="single" w:sz="4" w:space="0" w:color="auto"/>
              <w:left w:val="single" w:sz="4" w:space="0" w:color="auto"/>
              <w:bottom w:val="single" w:sz="4" w:space="0" w:color="auto"/>
              <w:right w:val="single" w:sz="4" w:space="0" w:color="auto"/>
            </w:tcBorders>
          </w:tcPr>
          <w:p w:rsidR="00706409" w:rsidRPr="00706409" w:rsidRDefault="00D205EF" w:rsidP="00706409">
            <w:pPr>
              <w:numPr>
                <w:ilvl w:val="0"/>
                <w:numId w:val="5"/>
              </w:numPr>
              <w:rPr>
                <w:rFonts w:ascii="Arial" w:hAnsi="Arial" w:cs="Arial"/>
                <w:sz w:val="24"/>
                <w:szCs w:val="24"/>
              </w:rPr>
            </w:pPr>
            <w:r w:rsidRPr="00706409">
              <w:rPr>
                <w:rFonts w:ascii="Arial" w:hAnsi="Arial" w:cs="Arial"/>
                <w:sz w:val="24"/>
                <w:szCs w:val="24"/>
              </w:rPr>
              <w:t xml:space="preserve">Business Support activities </w:t>
            </w:r>
          </w:p>
        </w:tc>
        <w:tc>
          <w:tcPr>
            <w:tcW w:w="2409" w:type="dxa"/>
            <w:tcBorders>
              <w:top w:val="single" w:sz="4" w:space="0" w:color="auto"/>
              <w:left w:val="single" w:sz="4" w:space="0" w:color="auto"/>
              <w:bottom w:val="single" w:sz="4" w:space="0" w:color="auto"/>
              <w:right w:val="single" w:sz="4" w:space="0" w:color="auto"/>
            </w:tcBorders>
          </w:tcPr>
          <w:p w:rsidR="00706409" w:rsidRPr="00706409" w:rsidRDefault="00D205EF" w:rsidP="00706409">
            <w:pPr>
              <w:tabs>
                <w:tab w:val="left" w:pos="315"/>
                <w:tab w:val="center" w:pos="882"/>
              </w:tabs>
              <w:jc w:val="center"/>
              <w:rPr>
                <w:rFonts w:ascii="Arial" w:hAnsi="Arial" w:cs="Arial"/>
                <w:sz w:val="24"/>
                <w:szCs w:val="24"/>
              </w:rPr>
            </w:pPr>
            <w:r w:rsidRPr="00706409">
              <w:rPr>
                <w:rFonts w:ascii="Arial" w:hAnsi="Arial" w:cs="Arial"/>
                <w:sz w:val="24"/>
                <w:szCs w:val="24"/>
              </w:rPr>
              <w:t>N/a</w:t>
            </w:r>
          </w:p>
        </w:tc>
        <w:tc>
          <w:tcPr>
            <w:tcW w:w="2217" w:type="dxa"/>
            <w:tcBorders>
              <w:top w:val="single" w:sz="4" w:space="0" w:color="auto"/>
              <w:left w:val="single" w:sz="4" w:space="0" w:color="auto"/>
              <w:bottom w:val="single" w:sz="4" w:space="0" w:color="auto"/>
              <w:right w:val="single" w:sz="4" w:space="0" w:color="auto"/>
            </w:tcBorders>
          </w:tcPr>
          <w:p w:rsidR="00706409" w:rsidRPr="00706409" w:rsidRDefault="00D205EF" w:rsidP="00706409">
            <w:pPr>
              <w:jc w:val="center"/>
              <w:rPr>
                <w:rFonts w:ascii="Arial" w:hAnsi="Arial" w:cs="Arial"/>
                <w:color w:val="FF0000"/>
                <w:sz w:val="24"/>
                <w:szCs w:val="24"/>
              </w:rPr>
            </w:pPr>
            <w:r w:rsidRPr="00706409">
              <w:rPr>
                <w:rFonts w:ascii="Arial" w:hAnsi="Arial" w:cs="Arial"/>
                <w:sz w:val="24"/>
                <w:szCs w:val="24"/>
              </w:rPr>
              <w:t>67</w:t>
            </w:r>
          </w:p>
        </w:tc>
        <w:tc>
          <w:tcPr>
            <w:tcW w:w="2217" w:type="dxa"/>
            <w:tcBorders>
              <w:top w:val="single" w:sz="4" w:space="0" w:color="auto"/>
              <w:left w:val="single" w:sz="4" w:space="0" w:color="auto"/>
              <w:bottom w:val="single" w:sz="4" w:space="0" w:color="auto"/>
              <w:right w:val="single" w:sz="4" w:space="0" w:color="auto"/>
            </w:tcBorders>
          </w:tcPr>
          <w:p w:rsidR="00706409" w:rsidRPr="00706409" w:rsidRDefault="00D205EF" w:rsidP="00706409">
            <w:pPr>
              <w:jc w:val="center"/>
              <w:rPr>
                <w:rFonts w:ascii="Arial" w:hAnsi="Arial" w:cs="Arial"/>
                <w:sz w:val="24"/>
                <w:szCs w:val="24"/>
              </w:rPr>
            </w:pPr>
            <w:r w:rsidRPr="00706409">
              <w:rPr>
                <w:rFonts w:ascii="Arial" w:hAnsi="Arial" w:cs="Arial"/>
                <w:sz w:val="24"/>
                <w:szCs w:val="24"/>
              </w:rPr>
              <w:t>517</w:t>
            </w:r>
          </w:p>
        </w:tc>
      </w:tr>
    </w:tbl>
    <w:p w:rsidR="00706409" w:rsidRPr="00706409" w:rsidRDefault="00D205EF" w:rsidP="00706409">
      <w:pPr>
        <w:spacing w:after="0" w:line="240" w:lineRule="auto"/>
        <w:ind w:left="284" w:hanging="426"/>
        <w:jc w:val="both"/>
      </w:pPr>
      <w:r w:rsidRPr="00706409">
        <w:t xml:space="preserve">* Gross jobs based on an average of 43 </w:t>
      </w:r>
      <w:proofErr w:type="spellStart"/>
      <w:r w:rsidRPr="00706409">
        <w:t>sq</w:t>
      </w:r>
      <w:proofErr w:type="spellEnd"/>
      <w:r w:rsidRPr="00706409">
        <w:t xml:space="preserve"> m per job, as per CLG guidance.</w:t>
      </w:r>
    </w:p>
    <w:p w:rsidR="00706409" w:rsidRPr="00706409" w:rsidRDefault="00D205EF" w:rsidP="00706409">
      <w:pPr>
        <w:spacing w:after="0" w:line="240" w:lineRule="auto"/>
        <w:ind w:left="284" w:hanging="426"/>
        <w:jc w:val="both"/>
      </w:pPr>
      <w:r w:rsidRPr="00706409">
        <w:t>** Based on one job per £86,945 of capital investment</w:t>
      </w:r>
    </w:p>
    <w:p w:rsidR="00706409" w:rsidRPr="00706409" w:rsidRDefault="00F641D9" w:rsidP="00706409">
      <w:pPr>
        <w:spacing w:after="0" w:line="240" w:lineRule="auto"/>
        <w:ind w:left="284" w:hanging="426"/>
        <w:jc w:val="both"/>
        <w:rPr>
          <w:sz w:val="24"/>
          <w:szCs w:val="24"/>
        </w:rPr>
      </w:pPr>
    </w:p>
    <w:p w:rsidR="00706409" w:rsidRPr="00706409" w:rsidRDefault="00BC4E16" w:rsidP="00F641D9">
      <w:pPr>
        <w:spacing w:after="0" w:line="240" w:lineRule="auto"/>
        <w:ind w:left="426" w:hanging="426"/>
        <w:jc w:val="both"/>
        <w:rPr>
          <w:rFonts w:ascii="Arial" w:hAnsi="Arial" w:cs="Arial"/>
          <w:sz w:val="24"/>
          <w:szCs w:val="24"/>
        </w:rPr>
      </w:pPr>
      <w:r>
        <w:rPr>
          <w:rFonts w:ascii="Arial" w:hAnsi="Arial" w:cs="Arial"/>
          <w:sz w:val="24"/>
          <w:szCs w:val="24"/>
        </w:rPr>
        <w:t>5.2</w:t>
      </w:r>
      <w:r>
        <w:rPr>
          <w:rFonts w:ascii="Arial" w:hAnsi="Arial" w:cs="Arial"/>
          <w:sz w:val="24"/>
          <w:szCs w:val="24"/>
        </w:rPr>
        <w:tab/>
      </w:r>
      <w:r w:rsidR="00D205EF" w:rsidRPr="00706409">
        <w:rPr>
          <w:rFonts w:ascii="Arial" w:hAnsi="Arial" w:cs="Arial"/>
          <w:sz w:val="24"/>
          <w:szCs w:val="24"/>
        </w:rPr>
        <w:t>In addition to the above,</w:t>
      </w:r>
      <w:r w:rsidR="00D205EF" w:rsidRPr="00706409">
        <w:rPr>
          <w:rFonts w:ascii="Arial" w:hAnsi="Arial" w:cs="Arial"/>
          <w:color w:val="FF0000"/>
          <w:sz w:val="24"/>
          <w:szCs w:val="24"/>
        </w:rPr>
        <w:t xml:space="preserve"> </w:t>
      </w:r>
      <w:r w:rsidR="00D205EF" w:rsidRPr="00706409">
        <w:rPr>
          <w:rFonts w:ascii="Arial" w:hAnsi="Arial" w:cs="Arial"/>
          <w:b/>
          <w:sz w:val="24"/>
          <w:szCs w:val="24"/>
        </w:rPr>
        <w:t>267</w:t>
      </w:r>
      <w:r w:rsidR="00D205EF" w:rsidRPr="00706409">
        <w:rPr>
          <w:rFonts w:ascii="Arial" w:hAnsi="Arial" w:cs="Arial"/>
          <w:sz w:val="24"/>
          <w:szCs w:val="24"/>
        </w:rPr>
        <w:t xml:space="preserve"> businesses in Preston and South </w:t>
      </w:r>
      <w:proofErr w:type="spellStart"/>
      <w:r w:rsidR="00D205EF" w:rsidRPr="00706409">
        <w:rPr>
          <w:rFonts w:ascii="Arial" w:hAnsi="Arial" w:cs="Arial"/>
          <w:sz w:val="24"/>
          <w:szCs w:val="24"/>
        </w:rPr>
        <w:t>Ribble</w:t>
      </w:r>
      <w:proofErr w:type="spellEnd"/>
      <w:r w:rsidR="00D205EF" w:rsidRPr="00706409">
        <w:rPr>
          <w:rFonts w:ascii="Arial" w:hAnsi="Arial" w:cs="Arial"/>
          <w:sz w:val="24"/>
          <w:szCs w:val="24"/>
        </w:rPr>
        <w:t xml:space="preserve"> have been supported specifically through the BOOST project, and </w:t>
      </w:r>
      <w:r w:rsidR="00D205EF" w:rsidRPr="00706409">
        <w:rPr>
          <w:rFonts w:ascii="Arial" w:hAnsi="Arial" w:cs="Arial"/>
          <w:b/>
          <w:sz w:val="24"/>
          <w:szCs w:val="24"/>
        </w:rPr>
        <w:t>67</w:t>
      </w:r>
      <w:r w:rsidR="00D205EF" w:rsidRPr="00706409">
        <w:rPr>
          <w:rFonts w:ascii="Arial" w:hAnsi="Arial" w:cs="Arial"/>
          <w:sz w:val="24"/>
          <w:szCs w:val="24"/>
        </w:rPr>
        <w:t xml:space="preserve"> associated jobs created, see table 5 below.   </w:t>
      </w:r>
    </w:p>
    <w:p w:rsidR="00706409" w:rsidRPr="00706409" w:rsidRDefault="00F641D9" w:rsidP="00706409">
      <w:pPr>
        <w:spacing w:after="0" w:line="240" w:lineRule="auto"/>
        <w:jc w:val="both"/>
        <w:rPr>
          <w:rFonts w:ascii="Arial" w:hAnsi="Arial" w:cs="Arial"/>
          <w:b/>
          <w:sz w:val="24"/>
          <w:szCs w:val="24"/>
        </w:rPr>
      </w:pPr>
    </w:p>
    <w:p w:rsidR="00706409" w:rsidRPr="00706409" w:rsidRDefault="00D205EF" w:rsidP="00706409">
      <w:pPr>
        <w:spacing w:after="0" w:line="240" w:lineRule="auto"/>
        <w:jc w:val="both"/>
        <w:rPr>
          <w:rFonts w:ascii="Arial" w:hAnsi="Arial" w:cs="Arial"/>
          <w:b/>
          <w:sz w:val="24"/>
          <w:szCs w:val="24"/>
          <w:u w:val="single"/>
        </w:rPr>
      </w:pPr>
      <w:r w:rsidRPr="00706409">
        <w:rPr>
          <w:rFonts w:ascii="Arial" w:hAnsi="Arial" w:cs="Arial"/>
          <w:b/>
          <w:sz w:val="24"/>
          <w:szCs w:val="24"/>
          <w:u w:val="single"/>
        </w:rPr>
        <w:t xml:space="preserve">Table 5: Business support and associated jobs </w:t>
      </w:r>
    </w:p>
    <w:p w:rsidR="00706409" w:rsidRPr="00706409" w:rsidRDefault="00F641D9" w:rsidP="00706409">
      <w:pPr>
        <w:spacing w:after="0" w:line="240" w:lineRule="auto"/>
        <w:jc w:val="both"/>
        <w:rPr>
          <w:rFonts w:ascii="Arial" w:hAnsi="Arial" w:cs="Arial"/>
          <w:b/>
          <w:sz w:val="24"/>
          <w:szCs w:val="24"/>
          <w:u w:val="single"/>
        </w:rPr>
      </w:pPr>
    </w:p>
    <w:tbl>
      <w:tblPr>
        <w:tblStyle w:val="TableGrid"/>
        <w:tblW w:w="9215" w:type="dxa"/>
        <w:tblInd w:w="-289" w:type="dxa"/>
        <w:tblLook w:val="04A0" w:firstRow="1" w:lastRow="0" w:firstColumn="1" w:lastColumn="0" w:noHBand="0" w:noVBand="1"/>
      </w:tblPr>
      <w:tblGrid>
        <w:gridCol w:w="7088"/>
        <w:gridCol w:w="2127"/>
      </w:tblGrid>
      <w:tr w:rsidR="00DB20DF" w:rsidTr="00D30CB8">
        <w:tc>
          <w:tcPr>
            <w:tcW w:w="7088" w:type="dxa"/>
            <w:tcBorders>
              <w:top w:val="single" w:sz="4" w:space="0" w:color="auto"/>
              <w:left w:val="single" w:sz="4" w:space="0" w:color="auto"/>
              <w:bottom w:val="single" w:sz="4" w:space="0" w:color="auto"/>
              <w:right w:val="single" w:sz="4" w:space="0" w:color="auto"/>
            </w:tcBorders>
            <w:hideMark/>
          </w:tcPr>
          <w:p w:rsidR="00706409" w:rsidRPr="00706409" w:rsidRDefault="00D205EF" w:rsidP="00706409">
            <w:pPr>
              <w:jc w:val="both"/>
              <w:rPr>
                <w:rFonts w:ascii="Arial" w:hAnsi="Arial" w:cs="Arial"/>
                <w:b/>
                <w:sz w:val="24"/>
                <w:szCs w:val="24"/>
              </w:rPr>
            </w:pPr>
            <w:r w:rsidRPr="00706409">
              <w:rPr>
                <w:rFonts w:ascii="Arial" w:hAnsi="Arial" w:cs="Arial"/>
                <w:b/>
                <w:sz w:val="24"/>
                <w:szCs w:val="24"/>
              </w:rPr>
              <w:t>Output</w:t>
            </w:r>
          </w:p>
        </w:tc>
        <w:tc>
          <w:tcPr>
            <w:tcW w:w="2127" w:type="dxa"/>
            <w:tcBorders>
              <w:top w:val="single" w:sz="4" w:space="0" w:color="auto"/>
              <w:left w:val="single" w:sz="4" w:space="0" w:color="auto"/>
              <w:bottom w:val="single" w:sz="4" w:space="0" w:color="auto"/>
              <w:right w:val="single" w:sz="4" w:space="0" w:color="auto"/>
            </w:tcBorders>
            <w:hideMark/>
          </w:tcPr>
          <w:p w:rsidR="00706409" w:rsidRPr="00706409" w:rsidRDefault="00D205EF" w:rsidP="00706409">
            <w:pPr>
              <w:jc w:val="center"/>
              <w:rPr>
                <w:rFonts w:ascii="Arial" w:hAnsi="Arial" w:cs="Arial"/>
                <w:b/>
                <w:sz w:val="24"/>
                <w:szCs w:val="24"/>
              </w:rPr>
            </w:pPr>
            <w:r w:rsidRPr="00706409">
              <w:rPr>
                <w:rFonts w:ascii="Arial" w:hAnsi="Arial" w:cs="Arial"/>
                <w:b/>
                <w:sz w:val="24"/>
                <w:szCs w:val="24"/>
              </w:rPr>
              <w:t xml:space="preserve">2018/19 </w:t>
            </w:r>
          </w:p>
        </w:tc>
      </w:tr>
      <w:tr w:rsidR="00DB20DF" w:rsidTr="00D30CB8">
        <w:tc>
          <w:tcPr>
            <w:tcW w:w="7088" w:type="dxa"/>
            <w:tcBorders>
              <w:top w:val="single" w:sz="4" w:space="0" w:color="auto"/>
              <w:left w:val="single" w:sz="4" w:space="0" w:color="auto"/>
              <w:bottom w:val="single" w:sz="4" w:space="0" w:color="auto"/>
              <w:right w:val="single" w:sz="4" w:space="0" w:color="auto"/>
            </w:tcBorders>
          </w:tcPr>
          <w:p w:rsidR="00706409" w:rsidRPr="00706409" w:rsidRDefault="00D205EF" w:rsidP="00706409">
            <w:pPr>
              <w:jc w:val="both"/>
              <w:rPr>
                <w:rFonts w:ascii="Arial" w:hAnsi="Arial" w:cs="Arial"/>
                <w:sz w:val="24"/>
                <w:szCs w:val="24"/>
              </w:rPr>
            </w:pPr>
            <w:r w:rsidRPr="00706409">
              <w:rPr>
                <w:rFonts w:ascii="Arial" w:hAnsi="Arial" w:cs="Arial"/>
                <w:sz w:val="24"/>
                <w:szCs w:val="24"/>
              </w:rPr>
              <w:t>New businesses supported through BOOST</w:t>
            </w:r>
          </w:p>
        </w:tc>
        <w:tc>
          <w:tcPr>
            <w:tcW w:w="2127" w:type="dxa"/>
            <w:tcBorders>
              <w:top w:val="single" w:sz="4" w:space="0" w:color="auto"/>
              <w:left w:val="single" w:sz="4" w:space="0" w:color="auto"/>
              <w:bottom w:val="single" w:sz="4" w:space="0" w:color="auto"/>
              <w:right w:val="single" w:sz="4" w:space="0" w:color="auto"/>
            </w:tcBorders>
            <w:hideMark/>
          </w:tcPr>
          <w:p w:rsidR="00706409" w:rsidRPr="00706409" w:rsidRDefault="00D205EF" w:rsidP="00706409">
            <w:pPr>
              <w:jc w:val="center"/>
              <w:rPr>
                <w:rFonts w:ascii="Arial" w:hAnsi="Arial" w:cs="Arial"/>
                <w:color w:val="FF0000"/>
                <w:sz w:val="24"/>
                <w:szCs w:val="24"/>
              </w:rPr>
            </w:pPr>
            <w:r w:rsidRPr="00706409">
              <w:rPr>
                <w:rFonts w:ascii="Arial" w:hAnsi="Arial" w:cs="Arial"/>
                <w:sz w:val="24"/>
                <w:szCs w:val="24"/>
              </w:rPr>
              <w:t>267</w:t>
            </w:r>
          </w:p>
        </w:tc>
      </w:tr>
      <w:tr w:rsidR="00DB20DF" w:rsidTr="00D30CB8">
        <w:tc>
          <w:tcPr>
            <w:tcW w:w="7088" w:type="dxa"/>
            <w:tcBorders>
              <w:top w:val="single" w:sz="4" w:space="0" w:color="auto"/>
              <w:left w:val="single" w:sz="4" w:space="0" w:color="auto"/>
              <w:bottom w:val="single" w:sz="4" w:space="0" w:color="auto"/>
              <w:right w:val="single" w:sz="4" w:space="0" w:color="auto"/>
            </w:tcBorders>
          </w:tcPr>
          <w:p w:rsidR="00706409" w:rsidRPr="00706409" w:rsidRDefault="00D205EF" w:rsidP="00706409">
            <w:pPr>
              <w:jc w:val="both"/>
              <w:rPr>
                <w:rFonts w:ascii="Arial" w:hAnsi="Arial" w:cs="Arial"/>
                <w:sz w:val="24"/>
                <w:szCs w:val="24"/>
              </w:rPr>
            </w:pPr>
            <w:r w:rsidRPr="00706409">
              <w:rPr>
                <w:rFonts w:ascii="Arial" w:hAnsi="Arial" w:cs="Arial"/>
                <w:sz w:val="24"/>
                <w:szCs w:val="24"/>
              </w:rPr>
              <w:t xml:space="preserve">Jobs created through BOOST business support </w:t>
            </w:r>
          </w:p>
        </w:tc>
        <w:tc>
          <w:tcPr>
            <w:tcW w:w="2127" w:type="dxa"/>
            <w:tcBorders>
              <w:top w:val="single" w:sz="4" w:space="0" w:color="auto"/>
              <w:left w:val="single" w:sz="4" w:space="0" w:color="auto"/>
              <w:bottom w:val="single" w:sz="4" w:space="0" w:color="auto"/>
              <w:right w:val="single" w:sz="4" w:space="0" w:color="auto"/>
            </w:tcBorders>
            <w:hideMark/>
          </w:tcPr>
          <w:p w:rsidR="00706409" w:rsidRPr="00706409" w:rsidRDefault="00D205EF" w:rsidP="00706409">
            <w:pPr>
              <w:jc w:val="center"/>
              <w:rPr>
                <w:rFonts w:ascii="Arial" w:hAnsi="Arial" w:cs="Arial"/>
                <w:color w:val="FF0000"/>
                <w:sz w:val="24"/>
                <w:szCs w:val="24"/>
              </w:rPr>
            </w:pPr>
            <w:r w:rsidRPr="00706409">
              <w:rPr>
                <w:rFonts w:ascii="Arial" w:hAnsi="Arial" w:cs="Arial"/>
                <w:sz w:val="24"/>
                <w:szCs w:val="24"/>
              </w:rPr>
              <w:t>67</w:t>
            </w:r>
          </w:p>
        </w:tc>
      </w:tr>
    </w:tbl>
    <w:p w:rsidR="00706409" w:rsidRPr="00706409" w:rsidRDefault="00D205EF" w:rsidP="00706409">
      <w:pPr>
        <w:spacing w:after="0" w:line="240" w:lineRule="auto"/>
        <w:jc w:val="both"/>
        <w:rPr>
          <w:rFonts w:ascii="Arial" w:hAnsi="Arial" w:cs="Arial"/>
          <w:sz w:val="20"/>
          <w:szCs w:val="20"/>
        </w:rPr>
      </w:pPr>
      <w:proofErr w:type="gramStart"/>
      <w:r w:rsidRPr="00706409">
        <w:rPr>
          <w:rFonts w:ascii="Arial" w:hAnsi="Arial" w:cs="Arial"/>
          <w:sz w:val="20"/>
          <w:szCs w:val="20"/>
        </w:rPr>
        <w:t>source</w:t>
      </w:r>
      <w:proofErr w:type="gramEnd"/>
      <w:r w:rsidRPr="00706409">
        <w:rPr>
          <w:rFonts w:ascii="Arial" w:hAnsi="Arial" w:cs="Arial"/>
          <w:sz w:val="20"/>
          <w:szCs w:val="20"/>
        </w:rPr>
        <w:t>: BOOST</w:t>
      </w:r>
    </w:p>
    <w:p w:rsidR="00706409" w:rsidRPr="00706409" w:rsidRDefault="00F641D9" w:rsidP="00706409">
      <w:pPr>
        <w:spacing w:after="0" w:line="240" w:lineRule="auto"/>
        <w:jc w:val="both"/>
        <w:rPr>
          <w:sz w:val="20"/>
          <w:szCs w:val="20"/>
        </w:rPr>
      </w:pPr>
    </w:p>
    <w:p w:rsidR="00706409" w:rsidRPr="00706409" w:rsidRDefault="00F641D9" w:rsidP="00706409">
      <w:pPr>
        <w:spacing w:after="0" w:line="240" w:lineRule="auto"/>
        <w:jc w:val="both"/>
        <w:rPr>
          <w:sz w:val="20"/>
          <w:szCs w:val="20"/>
        </w:rPr>
      </w:pPr>
    </w:p>
    <w:p w:rsidR="00706409" w:rsidRDefault="00F641D9" w:rsidP="00706409">
      <w:pPr>
        <w:spacing w:after="0" w:line="240" w:lineRule="auto"/>
        <w:rPr>
          <w:rFonts w:ascii="Arial" w:hAnsi="Arial" w:cs="Arial"/>
          <w:b/>
          <w:sz w:val="24"/>
          <w:szCs w:val="24"/>
        </w:rPr>
      </w:pPr>
    </w:p>
    <w:p w:rsidR="00612BC9" w:rsidRDefault="00612BC9" w:rsidP="00706409">
      <w:pPr>
        <w:spacing w:after="0" w:line="240" w:lineRule="auto"/>
        <w:rPr>
          <w:rFonts w:ascii="Arial" w:hAnsi="Arial" w:cs="Arial"/>
          <w:b/>
          <w:sz w:val="24"/>
          <w:szCs w:val="24"/>
        </w:rPr>
      </w:pPr>
    </w:p>
    <w:p w:rsidR="00612BC9" w:rsidRPr="00706409" w:rsidRDefault="00612BC9" w:rsidP="00706409">
      <w:pPr>
        <w:spacing w:after="0" w:line="240" w:lineRule="auto"/>
        <w:rPr>
          <w:rFonts w:ascii="Arial" w:hAnsi="Arial" w:cs="Arial"/>
          <w:b/>
          <w:sz w:val="24"/>
          <w:szCs w:val="24"/>
        </w:rPr>
      </w:pPr>
    </w:p>
    <w:p w:rsidR="00706409" w:rsidRDefault="00D205EF" w:rsidP="00706409">
      <w:pPr>
        <w:spacing w:after="0" w:line="240" w:lineRule="auto"/>
        <w:rPr>
          <w:rFonts w:ascii="Arial" w:hAnsi="Arial" w:cs="Arial"/>
          <w:b/>
          <w:sz w:val="24"/>
          <w:szCs w:val="24"/>
        </w:rPr>
      </w:pPr>
      <w:r w:rsidRPr="00706409">
        <w:rPr>
          <w:rFonts w:ascii="Arial" w:hAnsi="Arial" w:cs="Arial"/>
          <w:b/>
          <w:sz w:val="24"/>
          <w:szCs w:val="24"/>
        </w:rPr>
        <w:t xml:space="preserve">6.0 </w:t>
      </w:r>
      <w:r w:rsidRPr="00706409">
        <w:rPr>
          <w:rFonts w:ascii="Arial" w:hAnsi="Arial" w:cs="Arial"/>
          <w:b/>
          <w:sz w:val="24"/>
          <w:szCs w:val="24"/>
        </w:rPr>
        <w:tab/>
        <w:t xml:space="preserve">Skills and Employment </w:t>
      </w:r>
    </w:p>
    <w:p w:rsidR="00BC4E16" w:rsidRPr="00706409" w:rsidRDefault="00BC4E16" w:rsidP="00706409">
      <w:pPr>
        <w:spacing w:after="0" w:line="240" w:lineRule="auto"/>
        <w:rPr>
          <w:rFonts w:ascii="Arial" w:hAnsi="Arial" w:cs="Arial"/>
          <w:b/>
          <w:sz w:val="24"/>
          <w:szCs w:val="24"/>
        </w:rPr>
      </w:pPr>
    </w:p>
    <w:p w:rsidR="00706409" w:rsidRDefault="00D205EF" w:rsidP="00706409">
      <w:pPr>
        <w:spacing w:after="0" w:line="240" w:lineRule="auto"/>
        <w:ind w:left="720" w:hanging="720"/>
        <w:rPr>
          <w:rFonts w:ascii="Arial" w:hAnsi="Arial" w:cs="Arial"/>
          <w:sz w:val="24"/>
          <w:szCs w:val="24"/>
        </w:rPr>
      </w:pPr>
      <w:r w:rsidRPr="00706409">
        <w:rPr>
          <w:rFonts w:ascii="Arial" w:hAnsi="Arial" w:cs="Arial"/>
          <w:sz w:val="24"/>
          <w:szCs w:val="24"/>
        </w:rPr>
        <w:t>6.1</w:t>
      </w:r>
      <w:r w:rsidRPr="00706409">
        <w:rPr>
          <w:rFonts w:ascii="Arial" w:hAnsi="Arial" w:cs="Arial"/>
          <w:sz w:val="24"/>
          <w:szCs w:val="24"/>
        </w:rPr>
        <w:tab/>
        <w:t>The outputs in relation to skills and employment covering the 2017/2018 academic year were reported to this Board on 5</w:t>
      </w:r>
      <w:r w:rsidRPr="00706409">
        <w:rPr>
          <w:rFonts w:ascii="Arial" w:hAnsi="Arial" w:cs="Arial"/>
          <w:sz w:val="24"/>
          <w:szCs w:val="24"/>
          <w:vertAlign w:val="superscript"/>
        </w:rPr>
        <w:t>th</w:t>
      </w:r>
      <w:r w:rsidRPr="00706409">
        <w:rPr>
          <w:rFonts w:ascii="Arial" w:hAnsi="Arial" w:cs="Arial"/>
          <w:sz w:val="24"/>
          <w:szCs w:val="24"/>
        </w:rPr>
        <w:t xml:space="preserve"> February 2018. The City Deal outputs for skills and employment will be updated in November 2019 following the end of the academic year and reported to the Board in line with the time frame for reporting on these metrics. </w:t>
      </w:r>
    </w:p>
    <w:p w:rsidR="00612BC9" w:rsidRPr="00706409" w:rsidRDefault="00612BC9" w:rsidP="00706409">
      <w:pPr>
        <w:spacing w:after="0" w:line="240" w:lineRule="auto"/>
        <w:ind w:left="720" w:hanging="720"/>
        <w:rPr>
          <w:rFonts w:ascii="Arial" w:hAnsi="Arial" w:cs="Arial"/>
          <w:sz w:val="24"/>
          <w:szCs w:val="24"/>
        </w:rPr>
      </w:pPr>
    </w:p>
    <w:p w:rsidR="00706409" w:rsidRDefault="00D205EF" w:rsidP="00706409">
      <w:pPr>
        <w:spacing w:after="0" w:line="240" w:lineRule="auto"/>
        <w:ind w:left="720" w:hanging="720"/>
        <w:rPr>
          <w:rFonts w:ascii="Arial" w:hAnsi="Arial" w:cs="Arial"/>
          <w:sz w:val="24"/>
          <w:szCs w:val="24"/>
        </w:rPr>
      </w:pPr>
      <w:r w:rsidRPr="00706409">
        <w:rPr>
          <w:rFonts w:ascii="Arial" w:hAnsi="Arial" w:cs="Arial"/>
          <w:sz w:val="24"/>
          <w:szCs w:val="24"/>
        </w:rPr>
        <w:t>6.2</w:t>
      </w:r>
      <w:r w:rsidRPr="00706409">
        <w:rPr>
          <w:rFonts w:ascii="Arial" w:hAnsi="Arial" w:cs="Arial"/>
          <w:sz w:val="24"/>
          <w:szCs w:val="24"/>
        </w:rPr>
        <w:tab/>
        <w:t>Partners have continued to deliver a wide range of activities in the City Deal area directly with schools and businesses and have also been proactive in recruiting apprentices within the construction sector. As reported previously, apprenticeship starts in the construction sector across the Central Lancashire area bucked the national trend of declining numbers since the introduction of the apprenticeship levy and the introduction of the new apprenticeship standards. This represents the fourth consecutive year on year increase in apprenticeship starts for the sector in the City Deal area.</w:t>
      </w:r>
    </w:p>
    <w:p w:rsidR="00612BC9" w:rsidRPr="00706409" w:rsidRDefault="00612BC9" w:rsidP="00706409">
      <w:pPr>
        <w:spacing w:after="0" w:line="240" w:lineRule="auto"/>
        <w:ind w:left="720" w:hanging="720"/>
        <w:rPr>
          <w:rFonts w:ascii="Arial" w:hAnsi="Arial" w:cs="Arial"/>
          <w:sz w:val="24"/>
          <w:szCs w:val="24"/>
        </w:rPr>
      </w:pPr>
    </w:p>
    <w:p w:rsidR="00706409" w:rsidRPr="00706409" w:rsidRDefault="00D205EF" w:rsidP="00706409">
      <w:pPr>
        <w:spacing w:after="0" w:line="240" w:lineRule="auto"/>
        <w:ind w:left="720" w:hanging="720"/>
        <w:rPr>
          <w:rFonts w:ascii="Arial" w:hAnsi="Arial" w:cs="Arial"/>
          <w:sz w:val="24"/>
          <w:szCs w:val="24"/>
        </w:rPr>
      </w:pPr>
      <w:r w:rsidRPr="00706409">
        <w:rPr>
          <w:rFonts w:ascii="Arial" w:hAnsi="Arial" w:cs="Arial"/>
          <w:sz w:val="24"/>
          <w:szCs w:val="24"/>
        </w:rPr>
        <w:t xml:space="preserve">6.3 </w:t>
      </w:r>
      <w:r w:rsidRPr="00706409">
        <w:rPr>
          <w:rFonts w:ascii="Arial" w:hAnsi="Arial" w:cs="Arial"/>
          <w:sz w:val="24"/>
          <w:szCs w:val="24"/>
        </w:rPr>
        <w:tab/>
        <w:t xml:space="preserve">One project which clearly demonstrates how social value can be delivered through construction projects is </w:t>
      </w:r>
      <w:proofErr w:type="spellStart"/>
      <w:r w:rsidRPr="00706409">
        <w:rPr>
          <w:rFonts w:ascii="Arial" w:hAnsi="Arial" w:cs="Arial"/>
          <w:sz w:val="24"/>
          <w:szCs w:val="24"/>
        </w:rPr>
        <w:t>UCLan's</w:t>
      </w:r>
      <w:proofErr w:type="spellEnd"/>
      <w:r w:rsidRPr="00706409">
        <w:rPr>
          <w:rFonts w:ascii="Arial" w:hAnsi="Arial" w:cs="Arial"/>
          <w:sz w:val="24"/>
          <w:szCs w:val="24"/>
        </w:rPr>
        <w:t xml:space="preserve"> Engineering Innovation Centre. </w:t>
      </w:r>
    </w:p>
    <w:p w:rsidR="00706409" w:rsidRPr="00706409" w:rsidRDefault="00D205EF" w:rsidP="00706409">
      <w:pPr>
        <w:spacing w:after="0" w:line="240" w:lineRule="auto"/>
        <w:ind w:left="720" w:hanging="720"/>
        <w:rPr>
          <w:rFonts w:ascii="Arial" w:hAnsi="Arial" w:cs="Arial"/>
          <w:sz w:val="24"/>
          <w:szCs w:val="24"/>
        </w:rPr>
      </w:pPr>
      <w:r w:rsidRPr="00706409">
        <w:rPr>
          <w:rFonts w:ascii="Arial" w:hAnsi="Arial" w:cs="Arial"/>
          <w:sz w:val="24"/>
          <w:szCs w:val="24"/>
        </w:rPr>
        <w:tab/>
        <w:t xml:space="preserve">In addition to providing state of the art facilities, the EIC has successfully secured a commitment to Social Value that covers a range of thematic areas including an 'Inclusive Workforce', 'Future Workforce', a 'Skilled and Productive Workforce' and 'Community Benefits'.  </w:t>
      </w:r>
    </w:p>
    <w:p w:rsidR="00706409" w:rsidRPr="00706409" w:rsidRDefault="00D205EF" w:rsidP="00706409">
      <w:pPr>
        <w:spacing w:after="0" w:line="240" w:lineRule="auto"/>
        <w:ind w:left="720"/>
        <w:rPr>
          <w:rFonts w:ascii="Arial" w:hAnsi="Arial" w:cs="Arial"/>
          <w:sz w:val="24"/>
          <w:szCs w:val="24"/>
        </w:rPr>
      </w:pPr>
      <w:r w:rsidRPr="00706409">
        <w:rPr>
          <w:rFonts w:ascii="Arial" w:hAnsi="Arial" w:cs="Arial"/>
          <w:sz w:val="24"/>
          <w:szCs w:val="24"/>
        </w:rPr>
        <w:t xml:space="preserve">The key outcomes of the project have been analysed using the National Social Value framework Themes Outcomes and Measures to attribute a financial value using HM Treasury's Green Book unit costs and proxy values.  </w:t>
      </w:r>
    </w:p>
    <w:p w:rsidR="00706409" w:rsidRPr="00706409" w:rsidRDefault="00D205EF" w:rsidP="00706409">
      <w:pPr>
        <w:spacing w:after="0" w:line="240" w:lineRule="auto"/>
        <w:ind w:left="720"/>
        <w:rPr>
          <w:rFonts w:ascii="Arial" w:hAnsi="Arial" w:cs="Arial"/>
          <w:sz w:val="24"/>
          <w:szCs w:val="24"/>
        </w:rPr>
      </w:pPr>
      <w:r w:rsidRPr="00706409">
        <w:rPr>
          <w:rFonts w:ascii="Arial" w:hAnsi="Arial" w:cs="Arial"/>
          <w:sz w:val="24"/>
          <w:szCs w:val="24"/>
        </w:rPr>
        <w:t xml:space="preserve">To date the EIC project has delivered a total of £5,864,644.00 of added social value during the construction phase of the project. Some of the key achievements include:  </w:t>
      </w:r>
    </w:p>
    <w:p w:rsidR="00706409" w:rsidRPr="00706409" w:rsidRDefault="00D205EF" w:rsidP="00706409">
      <w:pPr>
        <w:numPr>
          <w:ilvl w:val="0"/>
          <w:numId w:val="7"/>
        </w:numPr>
        <w:spacing w:after="0" w:line="256" w:lineRule="auto"/>
        <w:contextualSpacing/>
        <w:rPr>
          <w:rFonts w:ascii="Arial" w:hAnsi="Arial" w:cs="Arial"/>
          <w:sz w:val="24"/>
          <w:szCs w:val="24"/>
        </w:rPr>
      </w:pPr>
      <w:r w:rsidRPr="00706409">
        <w:rPr>
          <w:rFonts w:ascii="Arial" w:hAnsi="Arial" w:cs="Arial"/>
          <w:sz w:val="24"/>
          <w:szCs w:val="24"/>
        </w:rPr>
        <w:t>29% local labour utilisation on the construction phase of the project</w:t>
      </w:r>
    </w:p>
    <w:p w:rsidR="00706409" w:rsidRPr="00706409" w:rsidRDefault="00D205EF" w:rsidP="00706409">
      <w:pPr>
        <w:numPr>
          <w:ilvl w:val="0"/>
          <w:numId w:val="7"/>
        </w:numPr>
        <w:spacing w:after="0" w:line="256" w:lineRule="auto"/>
        <w:contextualSpacing/>
        <w:rPr>
          <w:rFonts w:ascii="Arial" w:hAnsi="Arial" w:cs="Arial"/>
          <w:sz w:val="24"/>
          <w:szCs w:val="24"/>
        </w:rPr>
      </w:pPr>
      <w:r w:rsidRPr="00706409">
        <w:rPr>
          <w:rFonts w:ascii="Arial" w:hAnsi="Arial" w:cs="Arial"/>
          <w:sz w:val="24"/>
          <w:szCs w:val="24"/>
        </w:rPr>
        <w:t xml:space="preserve">82 Employment (FTE) opportunities for local residents </w:t>
      </w:r>
    </w:p>
    <w:p w:rsidR="00706409" w:rsidRPr="00706409" w:rsidRDefault="00D205EF" w:rsidP="00706409">
      <w:pPr>
        <w:numPr>
          <w:ilvl w:val="0"/>
          <w:numId w:val="7"/>
        </w:numPr>
        <w:spacing w:after="160" w:line="256" w:lineRule="auto"/>
        <w:contextualSpacing/>
        <w:rPr>
          <w:rFonts w:ascii="Arial" w:hAnsi="Arial" w:cs="Arial"/>
          <w:sz w:val="24"/>
          <w:szCs w:val="24"/>
        </w:rPr>
      </w:pPr>
      <w:r w:rsidRPr="00706409">
        <w:rPr>
          <w:rFonts w:ascii="Arial" w:hAnsi="Arial" w:cs="Arial"/>
          <w:sz w:val="24"/>
          <w:szCs w:val="24"/>
        </w:rPr>
        <w:t>420 apprenticeships weeks</w:t>
      </w:r>
    </w:p>
    <w:p w:rsidR="00706409" w:rsidRPr="00706409" w:rsidRDefault="00D205EF" w:rsidP="00706409">
      <w:pPr>
        <w:numPr>
          <w:ilvl w:val="0"/>
          <w:numId w:val="7"/>
        </w:numPr>
        <w:spacing w:after="160" w:line="256" w:lineRule="auto"/>
        <w:contextualSpacing/>
        <w:rPr>
          <w:rFonts w:ascii="Arial" w:hAnsi="Arial" w:cs="Arial"/>
          <w:sz w:val="24"/>
          <w:szCs w:val="24"/>
        </w:rPr>
      </w:pPr>
      <w:r w:rsidRPr="00706409">
        <w:rPr>
          <w:rFonts w:ascii="Arial" w:hAnsi="Arial" w:cs="Arial"/>
          <w:sz w:val="24"/>
          <w:szCs w:val="24"/>
        </w:rPr>
        <w:t xml:space="preserve">A total of £3,493,249.95 was spent with local Lancashire based businesses, of which £2,296,644.95 was spent with local SME's </w:t>
      </w:r>
    </w:p>
    <w:p w:rsidR="00706409" w:rsidRPr="00706409" w:rsidRDefault="00D205EF" w:rsidP="00706409">
      <w:pPr>
        <w:spacing w:after="0" w:line="240" w:lineRule="auto"/>
        <w:ind w:left="720" w:hanging="720"/>
        <w:rPr>
          <w:rFonts w:ascii="Arial" w:hAnsi="Arial" w:cs="Arial"/>
          <w:sz w:val="24"/>
          <w:szCs w:val="24"/>
        </w:rPr>
      </w:pPr>
      <w:r w:rsidRPr="00706409">
        <w:rPr>
          <w:rFonts w:ascii="Arial" w:hAnsi="Arial" w:cs="Arial"/>
          <w:sz w:val="24"/>
          <w:szCs w:val="24"/>
        </w:rPr>
        <w:t xml:space="preserve"> </w:t>
      </w:r>
    </w:p>
    <w:p w:rsidR="00706409" w:rsidRPr="00706409" w:rsidRDefault="00D205EF" w:rsidP="00706409">
      <w:pPr>
        <w:spacing w:after="0" w:line="240" w:lineRule="auto"/>
        <w:ind w:left="720" w:hanging="720"/>
      </w:pPr>
      <w:r w:rsidRPr="00706409">
        <w:rPr>
          <w:noProof/>
          <w:lang w:eastAsia="en-GB"/>
        </w:rPr>
        <w:drawing>
          <wp:anchor distT="0" distB="0" distL="114300" distR="114300" simplePos="0" relativeHeight="251658240" behindDoc="1" locked="0" layoutInCell="1" allowOverlap="1">
            <wp:simplePos x="0" y="0"/>
            <wp:positionH relativeFrom="margin">
              <wp:posOffset>3483610</wp:posOffset>
            </wp:positionH>
            <wp:positionV relativeFrom="paragraph">
              <wp:posOffset>455295</wp:posOffset>
            </wp:positionV>
            <wp:extent cx="2295525" cy="1410335"/>
            <wp:effectExtent l="0" t="0" r="9525" b="0"/>
            <wp:wrapTight wrapText="bothSides">
              <wp:wrapPolygon edited="0">
                <wp:start x="0" y="0"/>
                <wp:lineTo x="0" y="21299"/>
                <wp:lineTo x="21510" y="21299"/>
                <wp:lineTo x="21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859765" name="Picture 2"/>
                    <pic:cNvPicPr>
                      <a:picLocks noChangeAspect="1" noChangeArrowheads="1"/>
                    </pic:cNvPicPr>
                  </pic:nvPicPr>
                  <pic:blipFill>
                    <a:blip r:embed="rId8">
                      <a:extLst>
                        <a:ext uri="{28A0092B-C50C-407E-A947-70E740481C1C}">
                          <a14:useLocalDpi xmlns:a14="http://schemas.microsoft.com/office/drawing/2010/main" val="0"/>
                        </a:ext>
                      </a:extLst>
                    </a:blip>
                    <a:srcRect b="10396"/>
                    <a:stretch>
                      <a:fillRect/>
                    </a:stretch>
                  </pic:blipFill>
                  <pic:spPr bwMode="auto">
                    <a:xfrm>
                      <a:off x="0" y="0"/>
                      <a:ext cx="2295525" cy="1410335"/>
                    </a:xfrm>
                    <a:prstGeom prst="rect">
                      <a:avLst/>
                    </a:prstGeom>
                    <a:noFill/>
                  </pic:spPr>
                </pic:pic>
              </a:graphicData>
            </a:graphic>
            <wp14:sizeRelH relativeFrom="page">
              <wp14:pctWidth>0</wp14:pctWidth>
            </wp14:sizeRelH>
            <wp14:sizeRelV relativeFrom="page">
              <wp14:pctHeight>0</wp14:pctHeight>
            </wp14:sizeRelV>
          </wp:anchor>
        </w:drawing>
      </w:r>
      <w:r w:rsidRPr="00706409">
        <w:rPr>
          <w:rFonts w:ascii="Arial" w:hAnsi="Arial" w:cs="Arial"/>
          <w:sz w:val="24"/>
          <w:szCs w:val="24"/>
        </w:rPr>
        <w:t>6.4</w:t>
      </w:r>
      <w:r w:rsidRPr="00706409">
        <w:rPr>
          <w:rFonts w:ascii="Arial" w:hAnsi="Arial" w:cs="Arial"/>
          <w:sz w:val="24"/>
          <w:szCs w:val="24"/>
        </w:rPr>
        <w:tab/>
        <w:t>As previously highlighted in City Deal Executive and Stewardship Board reports, the City Deal 'Bridge the Gap' programme has continued to go from strength to strength. Over the 2018/19 academic year the programme has been delivered to Year 9 and 10 pupils at a total of 17 schools across the City Deal area of Central Lancashire. One of the many schools that participated in this year's programme was Longridge High School (see attached case study).</w:t>
      </w:r>
      <w:r w:rsidRPr="00706409">
        <w:t xml:space="preserve"> </w:t>
      </w:r>
    </w:p>
    <w:p w:rsidR="00706409" w:rsidRDefault="00D205EF" w:rsidP="00706409">
      <w:pPr>
        <w:spacing w:after="0" w:line="240" w:lineRule="auto"/>
        <w:ind w:left="720"/>
        <w:rPr>
          <w:rFonts w:ascii="Arial" w:hAnsi="Arial" w:cs="Arial"/>
          <w:sz w:val="24"/>
          <w:szCs w:val="24"/>
        </w:rPr>
      </w:pPr>
      <w:r w:rsidRPr="00706409">
        <w:rPr>
          <w:rFonts w:ascii="Arial" w:hAnsi="Arial" w:cs="Arial"/>
          <w:sz w:val="24"/>
          <w:szCs w:val="24"/>
        </w:rPr>
        <w:lastRenderedPageBreak/>
        <w:t>A full evaluation report will be prepared at the end of the current academic year to highlight the numbers of schools and pupils engaged during the 2018/19 academic year.</w:t>
      </w:r>
    </w:p>
    <w:p w:rsidR="00612BC9" w:rsidRPr="00706409" w:rsidRDefault="00612BC9" w:rsidP="00706409">
      <w:pPr>
        <w:spacing w:after="0" w:line="240" w:lineRule="auto"/>
        <w:ind w:left="720"/>
        <w:rPr>
          <w:rFonts w:ascii="Arial" w:hAnsi="Arial" w:cs="Arial"/>
          <w:sz w:val="24"/>
          <w:szCs w:val="24"/>
        </w:rPr>
      </w:pPr>
    </w:p>
    <w:p w:rsidR="00706409" w:rsidRDefault="00D205EF" w:rsidP="00706409">
      <w:pPr>
        <w:spacing w:after="0" w:line="240" w:lineRule="auto"/>
        <w:ind w:left="720" w:hanging="720"/>
        <w:rPr>
          <w:rFonts w:ascii="Arial" w:hAnsi="Arial" w:cs="Arial"/>
          <w:sz w:val="24"/>
          <w:szCs w:val="24"/>
        </w:rPr>
      </w:pPr>
      <w:r w:rsidRPr="00706409">
        <w:rPr>
          <w:rFonts w:ascii="Arial" w:hAnsi="Arial" w:cs="Arial"/>
          <w:sz w:val="24"/>
          <w:szCs w:val="24"/>
        </w:rPr>
        <w:t>6.5</w:t>
      </w:r>
      <w:r w:rsidRPr="00706409">
        <w:rPr>
          <w:rFonts w:ascii="Arial" w:hAnsi="Arial" w:cs="Arial"/>
          <w:sz w:val="24"/>
          <w:szCs w:val="24"/>
        </w:rPr>
        <w:tab/>
        <w:t>The Central Lancashire Construction Skills Hub continues to be a key partner in delivering activity. Examples of recent activity include the Central Lancashire Pathway to Construction Event at Preston's College on the 17</w:t>
      </w:r>
      <w:r w:rsidRPr="00706409">
        <w:rPr>
          <w:rFonts w:ascii="Arial" w:hAnsi="Arial" w:cs="Arial"/>
          <w:sz w:val="24"/>
          <w:szCs w:val="24"/>
          <w:vertAlign w:val="superscript"/>
        </w:rPr>
        <w:t>th</w:t>
      </w:r>
      <w:r w:rsidRPr="00706409">
        <w:rPr>
          <w:rFonts w:ascii="Arial" w:hAnsi="Arial" w:cs="Arial"/>
          <w:sz w:val="24"/>
          <w:szCs w:val="24"/>
        </w:rPr>
        <w:t xml:space="preserve"> May. The event provided an opportunity for local businesses and providers to get an update on the City Deal programme and an update from the planning teams at Preston City Council and South </w:t>
      </w:r>
      <w:proofErr w:type="spellStart"/>
      <w:r w:rsidRPr="00706409">
        <w:rPr>
          <w:rFonts w:ascii="Arial" w:hAnsi="Arial" w:cs="Arial"/>
          <w:sz w:val="24"/>
          <w:szCs w:val="24"/>
        </w:rPr>
        <w:t>Ribble</w:t>
      </w:r>
      <w:proofErr w:type="spellEnd"/>
      <w:r w:rsidRPr="00706409">
        <w:rPr>
          <w:rFonts w:ascii="Arial" w:hAnsi="Arial" w:cs="Arial"/>
          <w:sz w:val="24"/>
          <w:szCs w:val="24"/>
        </w:rPr>
        <w:t xml:space="preserve"> Borough Council. In addition, there was also a presentation from keynote speaker, Martyn Price from the Cross-industry Construction Apprenticeship Task Force.</w:t>
      </w:r>
    </w:p>
    <w:p w:rsidR="00612BC9" w:rsidRPr="00706409" w:rsidRDefault="00612BC9" w:rsidP="00706409">
      <w:pPr>
        <w:spacing w:after="0" w:line="240" w:lineRule="auto"/>
        <w:ind w:left="720" w:hanging="720"/>
        <w:rPr>
          <w:rFonts w:ascii="Arial" w:hAnsi="Arial" w:cs="Arial"/>
          <w:sz w:val="24"/>
          <w:szCs w:val="24"/>
        </w:rPr>
      </w:pPr>
    </w:p>
    <w:p w:rsidR="00706409" w:rsidRDefault="00D205EF" w:rsidP="00706409">
      <w:pPr>
        <w:spacing w:after="0" w:line="240" w:lineRule="auto"/>
        <w:ind w:left="720" w:hanging="720"/>
        <w:rPr>
          <w:rFonts w:ascii="Arial" w:hAnsi="Arial" w:cs="Arial"/>
          <w:sz w:val="24"/>
          <w:szCs w:val="24"/>
        </w:rPr>
      </w:pPr>
      <w:r w:rsidRPr="00706409">
        <w:rPr>
          <w:rFonts w:ascii="Arial" w:hAnsi="Arial" w:cs="Arial"/>
          <w:sz w:val="24"/>
          <w:szCs w:val="24"/>
        </w:rPr>
        <w:t>6.6</w:t>
      </w:r>
      <w:r w:rsidRPr="00706409">
        <w:rPr>
          <w:rFonts w:ascii="Arial" w:hAnsi="Arial" w:cs="Arial"/>
          <w:sz w:val="24"/>
          <w:szCs w:val="24"/>
        </w:rPr>
        <w:tab/>
        <w:t xml:space="preserve">Following the announcement of the revised proposals at the Lancashire Central strategic site at </w:t>
      </w:r>
      <w:proofErr w:type="spellStart"/>
      <w:r w:rsidRPr="00706409">
        <w:rPr>
          <w:rFonts w:ascii="Arial" w:hAnsi="Arial" w:cs="Arial"/>
          <w:sz w:val="24"/>
          <w:szCs w:val="24"/>
        </w:rPr>
        <w:t>Cuerden</w:t>
      </w:r>
      <w:proofErr w:type="spellEnd"/>
      <w:r w:rsidRPr="00706409">
        <w:rPr>
          <w:rFonts w:ascii="Arial" w:hAnsi="Arial" w:cs="Arial"/>
          <w:sz w:val="24"/>
          <w:szCs w:val="24"/>
        </w:rPr>
        <w:t xml:space="preserve">, the Skills and Employment Hub will be working closely with the City Deal Project Team to ensure that the site wide Employment and Skills plan is revised to reflect the new proposals.  </w:t>
      </w:r>
    </w:p>
    <w:p w:rsidR="00612BC9" w:rsidRPr="00706409" w:rsidRDefault="00612BC9" w:rsidP="00706409">
      <w:pPr>
        <w:spacing w:after="0" w:line="240" w:lineRule="auto"/>
        <w:ind w:left="720" w:hanging="720"/>
        <w:rPr>
          <w:rFonts w:ascii="Arial" w:hAnsi="Arial" w:cs="Arial"/>
          <w:sz w:val="24"/>
          <w:szCs w:val="24"/>
        </w:rPr>
      </w:pPr>
    </w:p>
    <w:p w:rsidR="00706409" w:rsidRDefault="00D205EF" w:rsidP="00706409">
      <w:pPr>
        <w:spacing w:after="0" w:line="240" w:lineRule="auto"/>
        <w:ind w:left="720" w:hanging="720"/>
        <w:rPr>
          <w:rFonts w:ascii="Arial" w:hAnsi="Arial" w:cs="Arial"/>
          <w:sz w:val="24"/>
          <w:szCs w:val="24"/>
        </w:rPr>
      </w:pPr>
      <w:r w:rsidRPr="00706409">
        <w:rPr>
          <w:noProof/>
          <w:lang w:eastAsia="en-GB"/>
        </w:rPr>
        <w:drawing>
          <wp:anchor distT="0" distB="0" distL="114300" distR="114300" simplePos="0" relativeHeight="251659264" behindDoc="0" locked="0" layoutInCell="1" allowOverlap="1">
            <wp:simplePos x="0" y="0"/>
            <wp:positionH relativeFrom="margin">
              <wp:posOffset>3283585</wp:posOffset>
            </wp:positionH>
            <wp:positionV relativeFrom="paragraph">
              <wp:posOffset>304800</wp:posOffset>
            </wp:positionV>
            <wp:extent cx="2438400"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435945"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38400" cy="1371600"/>
                    </a:xfrm>
                    <a:prstGeom prst="rect">
                      <a:avLst/>
                    </a:prstGeom>
                    <a:noFill/>
                  </pic:spPr>
                </pic:pic>
              </a:graphicData>
            </a:graphic>
            <wp14:sizeRelH relativeFrom="page">
              <wp14:pctWidth>0</wp14:pctWidth>
            </wp14:sizeRelH>
            <wp14:sizeRelV relativeFrom="page">
              <wp14:pctHeight>0</wp14:pctHeight>
            </wp14:sizeRelV>
          </wp:anchor>
        </w:drawing>
      </w:r>
      <w:r w:rsidRPr="00706409">
        <w:rPr>
          <w:rFonts w:ascii="Arial" w:hAnsi="Arial" w:cs="Arial"/>
          <w:sz w:val="24"/>
          <w:szCs w:val="24"/>
        </w:rPr>
        <w:t>6.7</w:t>
      </w:r>
      <w:r w:rsidRPr="00706409">
        <w:rPr>
          <w:rFonts w:ascii="Arial" w:hAnsi="Arial" w:cs="Arial"/>
          <w:sz w:val="24"/>
          <w:szCs w:val="24"/>
        </w:rPr>
        <w:tab/>
        <w:t xml:space="preserve">On the 3rd May Seddon held a 'Meet the Buyer' event hosted by Preston's College to highlight some of the supply chain opportunities that will be available through the development of the </w:t>
      </w:r>
      <w:proofErr w:type="spellStart"/>
      <w:r w:rsidRPr="00706409">
        <w:rPr>
          <w:rFonts w:ascii="Arial" w:hAnsi="Arial" w:cs="Arial"/>
          <w:sz w:val="24"/>
          <w:szCs w:val="24"/>
        </w:rPr>
        <w:t>Goosnargh</w:t>
      </w:r>
      <w:proofErr w:type="spellEnd"/>
      <w:r w:rsidRPr="00706409">
        <w:rPr>
          <w:rFonts w:ascii="Arial" w:hAnsi="Arial" w:cs="Arial"/>
          <w:sz w:val="24"/>
          <w:szCs w:val="24"/>
        </w:rPr>
        <w:t xml:space="preserve"> City Deal residential site. The project will deliver a wide range of employment and skills outputs which have been set out in the project's Community Commitment Charter. </w:t>
      </w:r>
    </w:p>
    <w:p w:rsidR="00612BC9" w:rsidRPr="00706409" w:rsidRDefault="00612BC9" w:rsidP="00706409">
      <w:pPr>
        <w:spacing w:after="0" w:line="240" w:lineRule="auto"/>
        <w:ind w:left="720" w:hanging="720"/>
        <w:rPr>
          <w:rFonts w:ascii="Arial" w:hAnsi="Arial" w:cs="Arial"/>
          <w:sz w:val="24"/>
          <w:szCs w:val="24"/>
        </w:rPr>
      </w:pPr>
    </w:p>
    <w:p w:rsidR="00706409" w:rsidRDefault="00D205EF" w:rsidP="00706409">
      <w:pPr>
        <w:spacing w:after="0" w:line="240" w:lineRule="auto"/>
        <w:ind w:left="720" w:hanging="720"/>
        <w:rPr>
          <w:rFonts w:ascii="Arial" w:hAnsi="Arial" w:cs="Arial"/>
          <w:sz w:val="24"/>
          <w:szCs w:val="24"/>
        </w:rPr>
      </w:pPr>
      <w:r w:rsidRPr="00706409">
        <w:rPr>
          <w:rFonts w:ascii="Arial" w:hAnsi="Arial" w:cs="Arial"/>
          <w:sz w:val="24"/>
          <w:szCs w:val="24"/>
        </w:rPr>
        <w:t>6.8</w:t>
      </w:r>
      <w:r w:rsidRPr="00706409">
        <w:rPr>
          <w:rFonts w:ascii="Arial" w:hAnsi="Arial" w:cs="Arial"/>
          <w:sz w:val="24"/>
          <w:szCs w:val="24"/>
        </w:rPr>
        <w:tab/>
        <w:t xml:space="preserve">The Skills and Employment Hub is currently working with Lovell Partnerships Ltd, who are developing the </w:t>
      </w:r>
      <w:proofErr w:type="spellStart"/>
      <w:r w:rsidRPr="00706409">
        <w:rPr>
          <w:rFonts w:ascii="Arial" w:hAnsi="Arial" w:cs="Arial"/>
          <w:sz w:val="24"/>
          <w:szCs w:val="24"/>
        </w:rPr>
        <w:t>Altcar</w:t>
      </w:r>
      <w:proofErr w:type="spellEnd"/>
      <w:r w:rsidRPr="00706409">
        <w:rPr>
          <w:rFonts w:ascii="Arial" w:hAnsi="Arial" w:cs="Arial"/>
          <w:sz w:val="24"/>
          <w:szCs w:val="24"/>
        </w:rPr>
        <w:t xml:space="preserve"> Lane site, to support the delivery of the Employment and Skills Plan for the site. The proposal outlines a construction programme of 36 months and with approval for 200 residential un</w:t>
      </w:r>
      <w:r w:rsidR="00612BC9">
        <w:rPr>
          <w:rFonts w:ascii="Arial" w:hAnsi="Arial" w:cs="Arial"/>
          <w:sz w:val="24"/>
          <w:szCs w:val="24"/>
        </w:rPr>
        <w:t>its.</w:t>
      </w:r>
    </w:p>
    <w:p w:rsidR="00612BC9" w:rsidRPr="00706409" w:rsidRDefault="00612BC9" w:rsidP="00706409">
      <w:pPr>
        <w:spacing w:after="0" w:line="240" w:lineRule="auto"/>
        <w:ind w:left="720" w:hanging="720"/>
        <w:rPr>
          <w:rFonts w:ascii="Arial" w:hAnsi="Arial" w:cs="Arial"/>
          <w:sz w:val="24"/>
          <w:szCs w:val="24"/>
        </w:rPr>
      </w:pPr>
    </w:p>
    <w:p w:rsidR="00706409" w:rsidRPr="00706409" w:rsidRDefault="00D205EF" w:rsidP="00706409">
      <w:pPr>
        <w:spacing w:after="0" w:line="240" w:lineRule="auto"/>
        <w:ind w:left="720" w:hanging="720"/>
        <w:rPr>
          <w:rFonts w:ascii="Arial" w:hAnsi="Arial" w:cs="Arial"/>
          <w:sz w:val="24"/>
          <w:szCs w:val="24"/>
        </w:rPr>
      </w:pPr>
      <w:r w:rsidRPr="00706409">
        <w:rPr>
          <w:rFonts w:ascii="Arial" w:hAnsi="Arial" w:cs="Arial"/>
          <w:sz w:val="24"/>
          <w:szCs w:val="24"/>
        </w:rPr>
        <w:t>6.9</w:t>
      </w:r>
      <w:r w:rsidRPr="00706409">
        <w:rPr>
          <w:rFonts w:ascii="Arial" w:hAnsi="Arial" w:cs="Arial"/>
          <w:sz w:val="24"/>
          <w:szCs w:val="24"/>
        </w:rPr>
        <w:tab/>
        <w:t xml:space="preserve">The City Deal Skills and Employment Steering Group continues to meet regularly with the key aim of steering activities geared to maximising the impact of City Deal investment for the benefit of local residents and businesses. </w:t>
      </w:r>
    </w:p>
    <w:p w:rsidR="00706409" w:rsidRPr="00706409" w:rsidRDefault="00F641D9" w:rsidP="00706409">
      <w:pPr>
        <w:spacing w:after="0" w:line="240" w:lineRule="auto"/>
        <w:jc w:val="both"/>
        <w:rPr>
          <w:rFonts w:ascii="Arial" w:hAnsi="Arial" w:cs="Arial"/>
          <w:b/>
          <w:sz w:val="24"/>
          <w:szCs w:val="24"/>
        </w:rPr>
      </w:pPr>
    </w:p>
    <w:p w:rsidR="00706409" w:rsidRPr="00706409" w:rsidRDefault="00D205EF" w:rsidP="00706409">
      <w:pPr>
        <w:spacing w:after="0" w:line="240" w:lineRule="auto"/>
        <w:jc w:val="both"/>
        <w:rPr>
          <w:rFonts w:ascii="Arial" w:hAnsi="Arial" w:cs="Arial"/>
          <w:b/>
          <w:sz w:val="24"/>
          <w:szCs w:val="24"/>
        </w:rPr>
      </w:pPr>
      <w:r w:rsidRPr="00706409">
        <w:rPr>
          <w:rFonts w:ascii="Arial" w:hAnsi="Arial" w:cs="Arial"/>
          <w:b/>
          <w:sz w:val="24"/>
          <w:szCs w:val="24"/>
        </w:rPr>
        <w:t xml:space="preserve">7.0 Public and Private Sector Investment   </w:t>
      </w:r>
    </w:p>
    <w:p w:rsidR="00706409" w:rsidRPr="00706409" w:rsidRDefault="00F641D9" w:rsidP="00706409">
      <w:pPr>
        <w:spacing w:after="0" w:line="240" w:lineRule="auto"/>
        <w:jc w:val="both"/>
        <w:rPr>
          <w:rFonts w:ascii="Arial" w:hAnsi="Arial" w:cs="Arial"/>
          <w:sz w:val="24"/>
          <w:szCs w:val="24"/>
        </w:rPr>
      </w:pPr>
    </w:p>
    <w:p w:rsidR="00706409" w:rsidRPr="00706409" w:rsidRDefault="00D205EF" w:rsidP="00706409">
      <w:pPr>
        <w:spacing w:after="0" w:line="240" w:lineRule="auto"/>
        <w:ind w:left="567" w:hanging="567"/>
        <w:jc w:val="both"/>
        <w:rPr>
          <w:rFonts w:ascii="Arial" w:hAnsi="Arial" w:cs="Arial"/>
          <w:sz w:val="24"/>
          <w:szCs w:val="24"/>
        </w:rPr>
      </w:pPr>
      <w:r w:rsidRPr="00706409">
        <w:rPr>
          <w:rFonts w:ascii="Arial" w:hAnsi="Arial" w:cs="Arial"/>
          <w:sz w:val="24"/>
          <w:szCs w:val="24"/>
        </w:rPr>
        <w:t>7.1 Since April 2018 £130.5m of public and private sector investment has been invested in transport infrastructure which has resulted in the achievement of the infrastructure and the construction jobs referred to in table 4.  In addition £58m Pension fund investment has been made to date, since the start of the Deal.</w:t>
      </w:r>
    </w:p>
    <w:p w:rsidR="00706409" w:rsidRPr="00706409" w:rsidRDefault="00F641D9" w:rsidP="00706409">
      <w:pPr>
        <w:spacing w:after="0" w:line="240" w:lineRule="auto"/>
        <w:jc w:val="both"/>
        <w:rPr>
          <w:rFonts w:ascii="Arial" w:hAnsi="Arial" w:cs="Arial"/>
          <w:sz w:val="24"/>
          <w:szCs w:val="24"/>
          <w:highlight w:val="lightGray"/>
        </w:rPr>
      </w:pPr>
    </w:p>
    <w:p w:rsidR="00706409" w:rsidRPr="00706409" w:rsidRDefault="00F641D9" w:rsidP="00706409">
      <w:pPr>
        <w:spacing w:after="0" w:line="240" w:lineRule="auto"/>
        <w:jc w:val="both"/>
        <w:rPr>
          <w:rFonts w:ascii="Arial" w:hAnsi="Arial" w:cs="Arial"/>
          <w:color w:val="FF0000"/>
          <w:sz w:val="24"/>
          <w:szCs w:val="24"/>
          <w:highlight w:val="lightGray"/>
        </w:rPr>
      </w:pPr>
    </w:p>
    <w:p w:rsidR="00612BC9" w:rsidRDefault="00612BC9" w:rsidP="00706409">
      <w:pPr>
        <w:spacing w:after="0" w:line="240" w:lineRule="auto"/>
        <w:rPr>
          <w:rFonts w:ascii="Arial" w:hAnsi="Arial" w:cs="Arial"/>
          <w:b/>
          <w:bCs/>
          <w:sz w:val="24"/>
          <w:szCs w:val="24"/>
          <w:u w:val="single"/>
        </w:rPr>
      </w:pPr>
      <w:bookmarkStart w:id="0" w:name="_GoBack"/>
      <w:bookmarkEnd w:id="0"/>
    </w:p>
    <w:p w:rsidR="00612BC9" w:rsidRPr="00706409" w:rsidRDefault="00612BC9" w:rsidP="00706409">
      <w:pPr>
        <w:spacing w:after="0" w:line="240" w:lineRule="auto"/>
        <w:rPr>
          <w:rFonts w:ascii="Arial" w:hAnsi="Arial" w:cs="Arial"/>
          <w:b/>
          <w:bCs/>
          <w:sz w:val="24"/>
          <w:szCs w:val="24"/>
          <w:u w:val="single"/>
        </w:rPr>
      </w:pPr>
    </w:p>
    <w:p w:rsidR="00706409" w:rsidRPr="00706409" w:rsidRDefault="00D205EF" w:rsidP="00706409">
      <w:pPr>
        <w:spacing w:after="0" w:line="240" w:lineRule="auto"/>
        <w:jc w:val="both"/>
        <w:rPr>
          <w:rFonts w:ascii="Arial" w:hAnsi="Arial" w:cs="Arial"/>
          <w:b/>
          <w:bCs/>
          <w:sz w:val="24"/>
          <w:szCs w:val="24"/>
          <w:u w:val="single"/>
        </w:rPr>
      </w:pPr>
      <w:r w:rsidRPr="00706409">
        <w:rPr>
          <w:rFonts w:ascii="Arial" w:hAnsi="Arial" w:cs="Arial"/>
          <w:b/>
          <w:bCs/>
          <w:sz w:val="24"/>
          <w:szCs w:val="24"/>
          <w:u w:val="single"/>
        </w:rPr>
        <w:t>Table 7:  Public and private sector investment – core outputs</w:t>
      </w:r>
    </w:p>
    <w:p w:rsidR="00706409" w:rsidRPr="00706409" w:rsidRDefault="00F641D9" w:rsidP="00706409">
      <w:pPr>
        <w:spacing w:after="0" w:line="240" w:lineRule="auto"/>
        <w:jc w:val="both"/>
        <w:rPr>
          <w:rFonts w:ascii="Arial" w:hAnsi="Arial" w:cs="Arial"/>
          <w:b/>
          <w:bCs/>
          <w:color w:val="FF0000"/>
          <w:sz w:val="24"/>
          <w:szCs w:val="24"/>
        </w:rPr>
      </w:pPr>
    </w:p>
    <w:tbl>
      <w:tblPr>
        <w:tblW w:w="5000" w:type="pct"/>
        <w:tblInd w:w="-8" w:type="dxa"/>
        <w:tblCellMar>
          <w:left w:w="0" w:type="dxa"/>
          <w:right w:w="0" w:type="dxa"/>
        </w:tblCellMar>
        <w:tblLook w:val="04A0" w:firstRow="1" w:lastRow="0" w:firstColumn="1" w:lastColumn="0" w:noHBand="0" w:noVBand="1"/>
      </w:tblPr>
      <w:tblGrid>
        <w:gridCol w:w="3500"/>
        <w:gridCol w:w="1834"/>
        <w:gridCol w:w="1397"/>
        <w:gridCol w:w="2275"/>
      </w:tblGrid>
      <w:tr w:rsidR="00DB20DF" w:rsidTr="00D30CB8">
        <w:trPr>
          <w:trHeight w:val="330"/>
        </w:trPr>
        <w:tc>
          <w:tcPr>
            <w:tcW w:w="4100"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center"/>
              <w:rPr>
                <w:rFonts w:ascii="Arial" w:hAnsi="Arial" w:cs="Arial"/>
                <w:b/>
                <w:bCs/>
                <w:color w:val="000000"/>
                <w:sz w:val="24"/>
                <w:szCs w:val="24"/>
                <w:lang w:eastAsia="en-GB"/>
              </w:rPr>
            </w:pPr>
            <w:r w:rsidRPr="00706409">
              <w:rPr>
                <w:rFonts w:ascii="Arial" w:hAnsi="Arial" w:cs="Arial"/>
                <w:b/>
                <w:bCs/>
                <w:color w:val="000000"/>
                <w:sz w:val="24"/>
                <w:szCs w:val="24"/>
                <w:lang w:eastAsia="en-GB"/>
              </w:rPr>
              <w:t>Core outputs</w:t>
            </w:r>
          </w:p>
        </w:tc>
        <w:tc>
          <w:tcPr>
            <w:tcW w:w="198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center"/>
              <w:rPr>
                <w:rFonts w:ascii="Arial" w:hAnsi="Arial" w:cs="Arial"/>
                <w:b/>
                <w:bCs/>
                <w:color w:val="000000"/>
                <w:sz w:val="24"/>
                <w:szCs w:val="24"/>
                <w:lang w:eastAsia="en-GB"/>
              </w:rPr>
            </w:pPr>
            <w:r w:rsidRPr="00706409">
              <w:rPr>
                <w:rFonts w:ascii="Arial" w:hAnsi="Arial" w:cs="Arial"/>
                <w:b/>
                <w:bCs/>
                <w:color w:val="000000"/>
                <w:sz w:val="24"/>
                <w:szCs w:val="24"/>
                <w:lang w:eastAsia="en-GB"/>
              </w:rPr>
              <w:t>18/19 Trajectory</w:t>
            </w:r>
          </w:p>
        </w:tc>
        <w:tc>
          <w:tcPr>
            <w:tcW w:w="15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center"/>
              <w:rPr>
                <w:rFonts w:ascii="Arial" w:hAnsi="Arial" w:cs="Arial"/>
                <w:b/>
                <w:bCs/>
                <w:color w:val="000000"/>
                <w:sz w:val="24"/>
                <w:szCs w:val="24"/>
                <w:lang w:eastAsia="en-GB"/>
              </w:rPr>
            </w:pPr>
            <w:r w:rsidRPr="00706409">
              <w:rPr>
                <w:rFonts w:ascii="Arial" w:hAnsi="Arial" w:cs="Arial"/>
                <w:b/>
                <w:bCs/>
                <w:color w:val="000000"/>
                <w:sz w:val="24"/>
                <w:szCs w:val="24"/>
                <w:lang w:eastAsia="en-GB"/>
              </w:rPr>
              <w:t>18/19 YTD Actual</w:t>
            </w:r>
          </w:p>
        </w:tc>
        <w:tc>
          <w:tcPr>
            <w:tcW w:w="252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center"/>
              <w:rPr>
                <w:rFonts w:ascii="Arial" w:hAnsi="Arial" w:cs="Arial"/>
                <w:b/>
                <w:bCs/>
                <w:color w:val="000000"/>
                <w:sz w:val="24"/>
                <w:szCs w:val="24"/>
                <w:lang w:eastAsia="en-GB"/>
              </w:rPr>
            </w:pPr>
            <w:r w:rsidRPr="00706409">
              <w:rPr>
                <w:rFonts w:ascii="Arial" w:hAnsi="Arial" w:cs="Arial"/>
                <w:b/>
                <w:bCs/>
                <w:color w:val="000000"/>
                <w:sz w:val="24"/>
                <w:szCs w:val="24"/>
                <w:lang w:eastAsia="en-GB"/>
              </w:rPr>
              <w:t>All Years Cumulative To Date</w:t>
            </w:r>
          </w:p>
        </w:tc>
      </w:tr>
      <w:tr w:rsidR="00DB20DF" w:rsidTr="00D30CB8">
        <w:trPr>
          <w:trHeight w:val="330"/>
        </w:trPr>
        <w:tc>
          <w:tcPr>
            <w:tcW w:w="0" w:type="auto"/>
            <w:vMerge/>
            <w:tcBorders>
              <w:top w:val="single" w:sz="8" w:space="0" w:color="auto"/>
              <w:left w:val="single" w:sz="8" w:space="0" w:color="auto"/>
              <w:bottom w:val="nil"/>
              <w:right w:val="single" w:sz="8" w:space="0" w:color="auto"/>
            </w:tcBorders>
            <w:vAlign w:val="center"/>
            <w:hideMark/>
          </w:tcPr>
          <w:p w:rsidR="00706409" w:rsidRPr="00706409" w:rsidRDefault="00F641D9" w:rsidP="00706409">
            <w:pPr>
              <w:spacing w:after="0" w:line="240" w:lineRule="auto"/>
              <w:rPr>
                <w:rFonts w:ascii="Arial" w:hAnsi="Arial" w:cs="Arial"/>
                <w:b/>
                <w:bCs/>
                <w:color w:val="000000"/>
                <w:sz w:val="24"/>
                <w:szCs w:val="24"/>
                <w:lang w:eastAsia="en-GB"/>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center"/>
              <w:rPr>
                <w:rFonts w:ascii="Arial" w:hAnsi="Arial" w:cs="Arial"/>
                <w:b/>
                <w:bCs/>
                <w:color w:val="000000"/>
                <w:sz w:val="24"/>
                <w:szCs w:val="24"/>
                <w:lang w:eastAsia="en-GB"/>
              </w:rPr>
            </w:pPr>
            <w:r w:rsidRPr="00706409">
              <w:rPr>
                <w:rFonts w:ascii="Arial" w:hAnsi="Arial" w:cs="Arial"/>
                <w:b/>
                <w:bCs/>
                <w:color w:val="000000"/>
                <w:sz w:val="24"/>
                <w:szCs w:val="24"/>
                <w:lang w:eastAsia="en-GB"/>
              </w:rPr>
              <w:t>£m</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center"/>
              <w:rPr>
                <w:rFonts w:ascii="Arial" w:hAnsi="Arial" w:cs="Arial"/>
                <w:b/>
                <w:bCs/>
                <w:color w:val="000000"/>
                <w:sz w:val="24"/>
                <w:szCs w:val="24"/>
                <w:lang w:eastAsia="en-GB"/>
              </w:rPr>
            </w:pPr>
            <w:r w:rsidRPr="00706409">
              <w:rPr>
                <w:rFonts w:ascii="Arial" w:hAnsi="Arial" w:cs="Arial"/>
                <w:b/>
                <w:bCs/>
                <w:color w:val="000000"/>
                <w:sz w:val="24"/>
                <w:szCs w:val="24"/>
                <w:lang w:eastAsia="en-GB"/>
              </w:rPr>
              <w:t>£m</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center"/>
              <w:rPr>
                <w:rFonts w:ascii="Arial" w:hAnsi="Arial" w:cs="Arial"/>
                <w:b/>
                <w:bCs/>
                <w:color w:val="000000"/>
                <w:sz w:val="24"/>
                <w:szCs w:val="24"/>
                <w:lang w:eastAsia="en-GB"/>
              </w:rPr>
            </w:pPr>
            <w:r w:rsidRPr="00706409">
              <w:rPr>
                <w:rFonts w:ascii="Arial" w:hAnsi="Arial" w:cs="Arial"/>
                <w:b/>
                <w:bCs/>
                <w:color w:val="000000"/>
                <w:sz w:val="24"/>
                <w:szCs w:val="24"/>
                <w:lang w:eastAsia="en-GB"/>
              </w:rPr>
              <w:t>£m</w:t>
            </w:r>
          </w:p>
        </w:tc>
      </w:tr>
      <w:tr w:rsidR="00DB20DF" w:rsidTr="00D30CB8">
        <w:trPr>
          <w:trHeight w:val="330"/>
        </w:trPr>
        <w:tc>
          <w:tcPr>
            <w:tcW w:w="41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both"/>
              <w:rPr>
                <w:rFonts w:ascii="Arial" w:hAnsi="Arial" w:cs="Arial"/>
                <w:color w:val="000000"/>
                <w:sz w:val="24"/>
                <w:szCs w:val="24"/>
                <w:lang w:eastAsia="en-GB"/>
              </w:rPr>
            </w:pPr>
            <w:r w:rsidRPr="00706409">
              <w:rPr>
                <w:rFonts w:ascii="Arial" w:hAnsi="Arial" w:cs="Arial"/>
                <w:color w:val="000000"/>
                <w:sz w:val="24"/>
                <w:szCs w:val="24"/>
                <w:lang w:eastAsia="en-GB"/>
              </w:rPr>
              <w:t xml:space="preserve">Public Sector Investment </w:t>
            </w:r>
          </w:p>
        </w:tc>
        <w:tc>
          <w:tcPr>
            <w:tcW w:w="198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center"/>
              <w:rPr>
                <w:rFonts w:ascii="Arial" w:hAnsi="Arial" w:cs="Arial"/>
                <w:color w:val="000000"/>
                <w:sz w:val="24"/>
                <w:szCs w:val="24"/>
                <w:lang w:eastAsia="en-GB"/>
              </w:rPr>
            </w:pPr>
            <w:r w:rsidRPr="00706409">
              <w:rPr>
                <w:rFonts w:ascii="Arial" w:hAnsi="Arial" w:cs="Arial"/>
                <w:color w:val="000000"/>
                <w:sz w:val="24"/>
                <w:szCs w:val="24"/>
                <w:lang w:eastAsia="en-GB"/>
              </w:rPr>
              <w:t>40.881</w:t>
            </w:r>
          </w:p>
        </w:tc>
        <w:tc>
          <w:tcPr>
            <w:tcW w:w="154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center"/>
              <w:rPr>
                <w:rFonts w:ascii="Arial" w:hAnsi="Arial" w:cs="Arial"/>
                <w:color w:val="000000"/>
                <w:sz w:val="24"/>
                <w:szCs w:val="24"/>
                <w:lang w:eastAsia="en-GB"/>
              </w:rPr>
            </w:pPr>
            <w:r w:rsidRPr="00706409">
              <w:rPr>
                <w:rFonts w:ascii="Arial" w:hAnsi="Arial" w:cs="Arial"/>
                <w:color w:val="000000"/>
                <w:sz w:val="24"/>
                <w:szCs w:val="24"/>
                <w:lang w:eastAsia="en-GB"/>
              </w:rPr>
              <w:t>24.891</w:t>
            </w:r>
          </w:p>
        </w:tc>
        <w:tc>
          <w:tcPr>
            <w:tcW w:w="25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center"/>
              <w:rPr>
                <w:rFonts w:ascii="Arial" w:hAnsi="Arial" w:cs="Arial"/>
                <w:color w:val="000000"/>
                <w:sz w:val="24"/>
                <w:szCs w:val="24"/>
                <w:lang w:eastAsia="en-GB"/>
              </w:rPr>
            </w:pPr>
            <w:r w:rsidRPr="00706409">
              <w:rPr>
                <w:rFonts w:ascii="Arial" w:hAnsi="Arial" w:cs="Arial"/>
                <w:color w:val="000000"/>
                <w:sz w:val="24"/>
                <w:szCs w:val="24"/>
                <w:lang w:eastAsia="en-GB"/>
              </w:rPr>
              <w:t>110.850</w:t>
            </w:r>
          </w:p>
        </w:tc>
      </w:tr>
      <w:tr w:rsidR="00DB20DF" w:rsidTr="00D30CB8">
        <w:trPr>
          <w:trHeight w:val="330"/>
        </w:trPr>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both"/>
              <w:rPr>
                <w:rFonts w:ascii="Arial" w:hAnsi="Arial" w:cs="Arial"/>
                <w:color w:val="000000"/>
                <w:sz w:val="24"/>
                <w:szCs w:val="24"/>
                <w:lang w:eastAsia="en-GB"/>
              </w:rPr>
            </w:pPr>
            <w:r w:rsidRPr="00706409">
              <w:rPr>
                <w:rFonts w:ascii="Arial" w:hAnsi="Arial" w:cs="Arial"/>
                <w:color w:val="000000"/>
                <w:sz w:val="24"/>
                <w:szCs w:val="24"/>
                <w:lang w:eastAsia="en-GB"/>
              </w:rPr>
              <w:t>(to support Infrastructure programme)</w:t>
            </w:r>
          </w:p>
        </w:tc>
        <w:tc>
          <w:tcPr>
            <w:tcW w:w="0" w:type="auto"/>
            <w:vMerge/>
            <w:tcBorders>
              <w:top w:val="nil"/>
              <w:left w:val="nil"/>
              <w:bottom w:val="single" w:sz="8" w:space="0" w:color="000000"/>
              <w:right w:val="single" w:sz="8" w:space="0" w:color="auto"/>
            </w:tcBorders>
            <w:vAlign w:val="center"/>
            <w:hideMark/>
          </w:tcPr>
          <w:p w:rsidR="00706409" w:rsidRPr="00706409" w:rsidRDefault="00F641D9" w:rsidP="00706409">
            <w:pPr>
              <w:spacing w:after="0" w:line="240" w:lineRule="auto"/>
              <w:rPr>
                <w:rFonts w:ascii="Arial" w:hAnsi="Arial" w:cs="Arial"/>
                <w:color w:val="000000"/>
                <w:sz w:val="24"/>
                <w:szCs w:val="24"/>
                <w:lang w:eastAsia="en-GB"/>
              </w:rPr>
            </w:pPr>
          </w:p>
        </w:tc>
        <w:tc>
          <w:tcPr>
            <w:tcW w:w="0" w:type="auto"/>
            <w:vMerge/>
            <w:tcBorders>
              <w:top w:val="nil"/>
              <w:left w:val="nil"/>
              <w:bottom w:val="single" w:sz="8" w:space="0" w:color="000000"/>
              <w:right w:val="single" w:sz="8" w:space="0" w:color="auto"/>
            </w:tcBorders>
            <w:vAlign w:val="center"/>
            <w:hideMark/>
          </w:tcPr>
          <w:p w:rsidR="00706409" w:rsidRPr="00706409" w:rsidRDefault="00F641D9" w:rsidP="00706409">
            <w:pPr>
              <w:spacing w:after="0" w:line="240" w:lineRule="auto"/>
              <w:rPr>
                <w:rFonts w:ascii="Arial" w:hAnsi="Arial" w:cs="Arial"/>
                <w:color w:val="000000"/>
                <w:sz w:val="24"/>
                <w:szCs w:val="24"/>
                <w:lang w:eastAsia="en-GB"/>
              </w:rPr>
            </w:pPr>
          </w:p>
        </w:tc>
        <w:tc>
          <w:tcPr>
            <w:tcW w:w="0" w:type="auto"/>
            <w:vMerge/>
            <w:tcBorders>
              <w:top w:val="nil"/>
              <w:left w:val="nil"/>
              <w:bottom w:val="single" w:sz="8" w:space="0" w:color="000000"/>
              <w:right w:val="single" w:sz="8" w:space="0" w:color="auto"/>
            </w:tcBorders>
            <w:vAlign w:val="center"/>
            <w:hideMark/>
          </w:tcPr>
          <w:p w:rsidR="00706409" w:rsidRPr="00706409" w:rsidRDefault="00F641D9" w:rsidP="00706409">
            <w:pPr>
              <w:spacing w:after="0" w:line="240" w:lineRule="auto"/>
              <w:rPr>
                <w:rFonts w:ascii="Arial" w:hAnsi="Arial" w:cs="Arial"/>
                <w:color w:val="000000"/>
                <w:sz w:val="24"/>
                <w:szCs w:val="24"/>
                <w:lang w:eastAsia="en-GB"/>
              </w:rPr>
            </w:pPr>
          </w:p>
        </w:tc>
      </w:tr>
      <w:tr w:rsidR="00DB20DF" w:rsidTr="00D30CB8">
        <w:trPr>
          <w:trHeight w:val="330"/>
        </w:trPr>
        <w:tc>
          <w:tcPr>
            <w:tcW w:w="41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both"/>
              <w:rPr>
                <w:rFonts w:ascii="Arial" w:hAnsi="Arial" w:cs="Arial"/>
                <w:color w:val="000000"/>
                <w:sz w:val="24"/>
                <w:szCs w:val="24"/>
                <w:lang w:eastAsia="en-GB"/>
              </w:rPr>
            </w:pPr>
            <w:r w:rsidRPr="00706409">
              <w:rPr>
                <w:rFonts w:ascii="Arial" w:hAnsi="Arial" w:cs="Arial"/>
                <w:color w:val="000000"/>
                <w:sz w:val="24"/>
                <w:szCs w:val="24"/>
                <w:lang w:eastAsia="en-GB"/>
              </w:rPr>
              <w:t xml:space="preserve">Private Sector Investment  </w:t>
            </w:r>
          </w:p>
        </w:tc>
        <w:tc>
          <w:tcPr>
            <w:tcW w:w="198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center"/>
              <w:rPr>
                <w:rFonts w:ascii="Arial" w:hAnsi="Arial" w:cs="Arial"/>
                <w:color w:val="000000"/>
                <w:sz w:val="24"/>
                <w:szCs w:val="24"/>
                <w:lang w:eastAsia="en-GB"/>
              </w:rPr>
            </w:pPr>
            <w:r w:rsidRPr="00706409">
              <w:rPr>
                <w:rFonts w:ascii="Arial" w:hAnsi="Arial" w:cs="Arial"/>
                <w:color w:val="000000"/>
                <w:sz w:val="24"/>
                <w:szCs w:val="24"/>
                <w:lang w:eastAsia="en-GB"/>
              </w:rPr>
              <w:t>12.801</w:t>
            </w:r>
          </w:p>
        </w:tc>
        <w:tc>
          <w:tcPr>
            <w:tcW w:w="154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center"/>
              <w:rPr>
                <w:rFonts w:ascii="Arial" w:hAnsi="Arial" w:cs="Arial"/>
                <w:color w:val="000000"/>
                <w:sz w:val="24"/>
                <w:szCs w:val="24"/>
                <w:lang w:eastAsia="en-GB"/>
              </w:rPr>
            </w:pPr>
            <w:r w:rsidRPr="00706409">
              <w:rPr>
                <w:rFonts w:ascii="Arial" w:hAnsi="Arial" w:cs="Arial"/>
                <w:color w:val="000000"/>
                <w:sz w:val="24"/>
                <w:szCs w:val="24"/>
                <w:lang w:eastAsia="en-GB"/>
              </w:rPr>
              <w:t>3.023</w:t>
            </w:r>
          </w:p>
        </w:tc>
        <w:tc>
          <w:tcPr>
            <w:tcW w:w="25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center"/>
              <w:rPr>
                <w:rFonts w:ascii="Arial" w:hAnsi="Arial" w:cs="Arial"/>
                <w:color w:val="000000"/>
                <w:sz w:val="24"/>
                <w:szCs w:val="24"/>
                <w:lang w:eastAsia="en-GB"/>
              </w:rPr>
            </w:pPr>
            <w:r w:rsidRPr="00706409">
              <w:rPr>
                <w:rFonts w:ascii="Arial" w:hAnsi="Arial" w:cs="Arial"/>
                <w:color w:val="000000"/>
                <w:sz w:val="24"/>
                <w:szCs w:val="24"/>
                <w:lang w:eastAsia="en-GB"/>
              </w:rPr>
              <w:t>19.652</w:t>
            </w:r>
          </w:p>
        </w:tc>
      </w:tr>
      <w:tr w:rsidR="00DB20DF" w:rsidTr="00D30CB8">
        <w:trPr>
          <w:trHeight w:val="330"/>
        </w:trPr>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both"/>
              <w:rPr>
                <w:rFonts w:ascii="Arial" w:hAnsi="Arial" w:cs="Arial"/>
                <w:color w:val="000000"/>
                <w:sz w:val="24"/>
                <w:szCs w:val="24"/>
                <w:lang w:eastAsia="en-GB"/>
              </w:rPr>
            </w:pPr>
            <w:r w:rsidRPr="00706409">
              <w:rPr>
                <w:rFonts w:ascii="Arial" w:hAnsi="Arial" w:cs="Arial"/>
                <w:color w:val="000000"/>
                <w:sz w:val="24"/>
                <w:szCs w:val="24"/>
                <w:lang w:eastAsia="en-GB"/>
              </w:rPr>
              <w:t xml:space="preserve">(to support infrastructure programme) </w:t>
            </w:r>
          </w:p>
        </w:tc>
        <w:tc>
          <w:tcPr>
            <w:tcW w:w="0" w:type="auto"/>
            <w:vMerge/>
            <w:tcBorders>
              <w:top w:val="nil"/>
              <w:left w:val="nil"/>
              <w:bottom w:val="single" w:sz="8" w:space="0" w:color="000000"/>
              <w:right w:val="single" w:sz="8" w:space="0" w:color="auto"/>
            </w:tcBorders>
            <w:vAlign w:val="center"/>
            <w:hideMark/>
          </w:tcPr>
          <w:p w:rsidR="00706409" w:rsidRPr="00706409" w:rsidRDefault="00F641D9" w:rsidP="00706409">
            <w:pPr>
              <w:spacing w:after="0" w:line="240" w:lineRule="auto"/>
              <w:rPr>
                <w:rFonts w:ascii="Arial" w:hAnsi="Arial" w:cs="Arial"/>
                <w:color w:val="000000"/>
                <w:sz w:val="24"/>
                <w:szCs w:val="24"/>
                <w:lang w:eastAsia="en-GB"/>
              </w:rPr>
            </w:pPr>
          </w:p>
        </w:tc>
        <w:tc>
          <w:tcPr>
            <w:tcW w:w="0" w:type="auto"/>
            <w:vMerge/>
            <w:tcBorders>
              <w:top w:val="nil"/>
              <w:left w:val="nil"/>
              <w:bottom w:val="single" w:sz="8" w:space="0" w:color="000000"/>
              <w:right w:val="single" w:sz="8" w:space="0" w:color="auto"/>
            </w:tcBorders>
            <w:vAlign w:val="center"/>
            <w:hideMark/>
          </w:tcPr>
          <w:p w:rsidR="00706409" w:rsidRPr="00706409" w:rsidRDefault="00F641D9" w:rsidP="00706409">
            <w:pPr>
              <w:spacing w:after="0" w:line="240" w:lineRule="auto"/>
              <w:rPr>
                <w:rFonts w:ascii="Arial" w:hAnsi="Arial" w:cs="Arial"/>
                <w:color w:val="000000"/>
                <w:sz w:val="24"/>
                <w:szCs w:val="24"/>
                <w:lang w:eastAsia="en-GB"/>
              </w:rPr>
            </w:pPr>
          </w:p>
        </w:tc>
        <w:tc>
          <w:tcPr>
            <w:tcW w:w="0" w:type="auto"/>
            <w:vMerge/>
            <w:tcBorders>
              <w:top w:val="nil"/>
              <w:left w:val="nil"/>
              <w:bottom w:val="single" w:sz="8" w:space="0" w:color="000000"/>
              <w:right w:val="single" w:sz="8" w:space="0" w:color="auto"/>
            </w:tcBorders>
            <w:vAlign w:val="center"/>
            <w:hideMark/>
          </w:tcPr>
          <w:p w:rsidR="00706409" w:rsidRPr="00706409" w:rsidRDefault="00F641D9" w:rsidP="00706409">
            <w:pPr>
              <w:spacing w:after="0" w:line="240" w:lineRule="auto"/>
              <w:rPr>
                <w:rFonts w:ascii="Arial" w:hAnsi="Arial" w:cs="Arial"/>
                <w:color w:val="000000"/>
                <w:sz w:val="24"/>
                <w:szCs w:val="24"/>
                <w:lang w:eastAsia="en-GB"/>
              </w:rPr>
            </w:pPr>
          </w:p>
        </w:tc>
      </w:tr>
      <w:tr w:rsidR="00DB20DF" w:rsidTr="00D30CB8">
        <w:trPr>
          <w:trHeight w:val="330"/>
        </w:trPr>
        <w:tc>
          <w:tcPr>
            <w:tcW w:w="4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both"/>
              <w:rPr>
                <w:rFonts w:ascii="Arial" w:hAnsi="Arial" w:cs="Arial"/>
                <w:color w:val="000000"/>
                <w:lang w:eastAsia="en-GB"/>
              </w:rPr>
            </w:pPr>
            <w:r w:rsidRPr="00706409">
              <w:rPr>
                <w:rFonts w:ascii="Arial" w:hAnsi="Arial" w:cs="Arial"/>
                <w:color w:val="000000"/>
                <w:lang w:eastAsia="en-GB"/>
              </w:rPr>
              <w:t>Pension Fund Investment</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right"/>
              <w:rPr>
                <w:rFonts w:ascii="Arial" w:hAnsi="Arial" w:cs="Arial"/>
                <w:color w:val="000000"/>
                <w:sz w:val="24"/>
                <w:szCs w:val="24"/>
                <w:lang w:eastAsia="en-GB"/>
              </w:rPr>
            </w:pPr>
            <w:r w:rsidRPr="00706409">
              <w:rPr>
                <w:rFonts w:ascii="Arial" w:hAnsi="Arial" w:cs="Arial"/>
                <w:color w:val="000000"/>
                <w:sz w:val="24"/>
                <w:szCs w:val="24"/>
                <w:lang w:eastAsia="en-GB"/>
              </w:rPr>
              <w:t>-</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right"/>
              <w:rPr>
                <w:rFonts w:ascii="Arial" w:hAnsi="Arial" w:cs="Arial"/>
                <w:color w:val="000000"/>
                <w:sz w:val="24"/>
                <w:szCs w:val="24"/>
                <w:lang w:eastAsia="en-GB"/>
              </w:rPr>
            </w:pPr>
            <w:r w:rsidRPr="00706409">
              <w:rPr>
                <w:rFonts w:ascii="Arial" w:hAnsi="Arial" w:cs="Arial"/>
                <w:color w:val="000000"/>
                <w:sz w:val="24"/>
                <w:szCs w:val="24"/>
                <w:lang w:eastAsia="en-GB"/>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409" w:rsidRPr="00706409" w:rsidRDefault="00D205EF" w:rsidP="00706409">
            <w:pPr>
              <w:spacing w:after="0" w:line="240" w:lineRule="auto"/>
              <w:jc w:val="center"/>
              <w:rPr>
                <w:rFonts w:ascii="Arial" w:hAnsi="Arial" w:cs="Arial"/>
                <w:color w:val="000000"/>
                <w:lang w:eastAsia="en-GB"/>
              </w:rPr>
            </w:pPr>
            <w:r w:rsidRPr="00706409">
              <w:rPr>
                <w:rFonts w:ascii="Arial" w:hAnsi="Arial" w:cs="Arial"/>
                <w:color w:val="000000"/>
                <w:lang w:eastAsia="en-GB"/>
              </w:rPr>
              <w:t>58.000</w:t>
            </w:r>
          </w:p>
        </w:tc>
      </w:tr>
    </w:tbl>
    <w:p w:rsidR="00706409" w:rsidRPr="00706409" w:rsidRDefault="00F641D9" w:rsidP="00706409">
      <w:pPr>
        <w:spacing w:after="0" w:line="240" w:lineRule="auto"/>
        <w:rPr>
          <w:color w:val="1F497D"/>
        </w:rPr>
      </w:pPr>
    </w:p>
    <w:p w:rsidR="00706409" w:rsidRPr="00706409" w:rsidRDefault="00D205EF" w:rsidP="00706409">
      <w:pPr>
        <w:spacing w:after="0" w:line="240" w:lineRule="auto"/>
        <w:ind w:left="284" w:hanging="426"/>
        <w:rPr>
          <w:rFonts w:ascii="Arial" w:hAnsi="Arial" w:cs="Arial"/>
          <w:sz w:val="24"/>
          <w:szCs w:val="24"/>
        </w:rPr>
      </w:pPr>
      <w:r w:rsidRPr="00706409">
        <w:rPr>
          <w:rFonts w:ascii="Arial" w:hAnsi="Arial" w:cs="Arial"/>
          <w:sz w:val="24"/>
          <w:szCs w:val="24"/>
        </w:rPr>
        <w:t xml:space="preserve">7.2 Public Sector Investment includes contributions from Lancashire County Council capital funding, Local Growth Deal Funding and Homes England Grant / loan payments, as well as agreed contributions from Preston City Council and South </w:t>
      </w:r>
      <w:proofErr w:type="spellStart"/>
      <w:r w:rsidRPr="00706409">
        <w:rPr>
          <w:rFonts w:ascii="Arial" w:hAnsi="Arial" w:cs="Arial"/>
          <w:sz w:val="24"/>
          <w:szCs w:val="24"/>
        </w:rPr>
        <w:t>Ribble</w:t>
      </w:r>
      <w:proofErr w:type="spellEnd"/>
      <w:r w:rsidRPr="00706409">
        <w:rPr>
          <w:rFonts w:ascii="Arial" w:hAnsi="Arial" w:cs="Arial"/>
          <w:sz w:val="24"/>
          <w:szCs w:val="24"/>
        </w:rPr>
        <w:t xml:space="preserve"> Borough Council for New Homes Bonus raised from City Deal housing sites.</w:t>
      </w:r>
    </w:p>
    <w:p w:rsidR="00706409" w:rsidRPr="00706409" w:rsidRDefault="00F641D9" w:rsidP="00706409">
      <w:pPr>
        <w:spacing w:after="0" w:line="240" w:lineRule="auto"/>
        <w:ind w:left="284" w:hanging="426"/>
        <w:rPr>
          <w:rFonts w:ascii="Arial" w:hAnsi="Arial" w:cs="Arial"/>
          <w:sz w:val="24"/>
          <w:szCs w:val="24"/>
        </w:rPr>
      </w:pPr>
    </w:p>
    <w:p w:rsidR="00706409" w:rsidRPr="00706409" w:rsidRDefault="00D205EF" w:rsidP="00706409">
      <w:pPr>
        <w:spacing w:after="0" w:line="240" w:lineRule="auto"/>
        <w:ind w:left="284" w:hanging="426"/>
        <w:rPr>
          <w:rFonts w:ascii="Arial" w:hAnsi="Arial" w:cs="Arial"/>
          <w:sz w:val="24"/>
          <w:szCs w:val="24"/>
        </w:rPr>
      </w:pPr>
      <w:r w:rsidRPr="00706409">
        <w:rPr>
          <w:rFonts w:ascii="Arial" w:hAnsi="Arial" w:cs="Arial"/>
          <w:sz w:val="24"/>
          <w:szCs w:val="24"/>
        </w:rPr>
        <w:t xml:space="preserve">7.3 Private Sector Investment is predominantly contributions from developers on City Deal housing sites, either through S106 agreements or CIL payments.  The 2018/19 actual is less than the original forecast amount due to the delivery of large housing sites slipping into future years causing the forecast investment from those sites also slipping; and the delay in the delivery of PWD causing the receipt of the funding tied to that delivery also being delayed, as well as delays to sites that would generate Homes England grant or loan.  </w:t>
      </w:r>
    </w:p>
    <w:p w:rsidR="00706409" w:rsidRPr="00706409" w:rsidRDefault="00F641D9" w:rsidP="00706409">
      <w:pPr>
        <w:spacing w:after="0" w:line="240" w:lineRule="auto"/>
        <w:ind w:hanging="426"/>
        <w:jc w:val="both"/>
        <w:rPr>
          <w:rFonts w:ascii="Arial" w:hAnsi="Arial" w:cs="Arial"/>
          <w:b/>
          <w:sz w:val="24"/>
          <w:szCs w:val="24"/>
        </w:rPr>
      </w:pPr>
    </w:p>
    <w:p w:rsidR="00706409" w:rsidRPr="00706409" w:rsidRDefault="00D205EF" w:rsidP="00BC4E16">
      <w:pPr>
        <w:spacing w:after="0" w:line="240" w:lineRule="auto"/>
        <w:ind w:left="284" w:hanging="426"/>
        <w:jc w:val="both"/>
        <w:rPr>
          <w:rFonts w:ascii="Arial" w:hAnsi="Arial" w:cs="Arial"/>
          <w:b/>
          <w:sz w:val="24"/>
          <w:szCs w:val="24"/>
        </w:rPr>
      </w:pPr>
      <w:r w:rsidRPr="00706409">
        <w:rPr>
          <w:rFonts w:ascii="Arial" w:hAnsi="Arial" w:cs="Arial"/>
          <w:b/>
          <w:sz w:val="24"/>
          <w:szCs w:val="24"/>
        </w:rPr>
        <w:t>8.0 Performance on key strategic infrastructure schemes</w:t>
      </w:r>
    </w:p>
    <w:p w:rsidR="00706409" w:rsidRPr="00706409" w:rsidRDefault="00F641D9" w:rsidP="00BC4E16">
      <w:pPr>
        <w:spacing w:after="0" w:line="240" w:lineRule="auto"/>
        <w:ind w:left="284" w:hanging="426"/>
        <w:jc w:val="both"/>
        <w:rPr>
          <w:rFonts w:ascii="Arial" w:hAnsi="Arial" w:cs="Arial"/>
          <w:b/>
          <w:sz w:val="24"/>
          <w:szCs w:val="24"/>
        </w:rPr>
      </w:pPr>
    </w:p>
    <w:p w:rsidR="00706409" w:rsidRPr="00706409" w:rsidRDefault="00D205EF" w:rsidP="00BC4E16">
      <w:pPr>
        <w:spacing w:after="0" w:line="240" w:lineRule="auto"/>
        <w:ind w:left="284" w:hanging="426"/>
        <w:jc w:val="both"/>
        <w:rPr>
          <w:rFonts w:ascii="Arial" w:hAnsi="Arial" w:cs="Arial"/>
          <w:sz w:val="24"/>
          <w:szCs w:val="24"/>
        </w:rPr>
      </w:pPr>
      <w:r w:rsidRPr="00706409">
        <w:rPr>
          <w:rFonts w:ascii="Arial" w:hAnsi="Arial" w:cs="Arial"/>
          <w:sz w:val="24"/>
          <w:szCs w:val="24"/>
        </w:rPr>
        <w:t>8.1 A full update on progress for all infrastructure schemes up to the end of quarter 4 (January-March 2019) is provided in appendix 4.</w:t>
      </w:r>
    </w:p>
    <w:p w:rsidR="00706409" w:rsidRPr="00706409" w:rsidRDefault="00F641D9" w:rsidP="00706409">
      <w:pPr>
        <w:spacing w:after="0" w:line="240" w:lineRule="auto"/>
        <w:ind w:hanging="426"/>
        <w:jc w:val="both"/>
        <w:rPr>
          <w:rFonts w:ascii="Arial" w:hAnsi="Arial" w:cs="Arial"/>
          <w:b/>
          <w:sz w:val="24"/>
          <w:szCs w:val="24"/>
        </w:rPr>
      </w:pPr>
    </w:p>
    <w:p w:rsidR="00706409" w:rsidRPr="00706409" w:rsidRDefault="00D205EF" w:rsidP="00F641D9">
      <w:pPr>
        <w:spacing w:after="0" w:line="240" w:lineRule="auto"/>
        <w:ind w:firstLine="284"/>
        <w:jc w:val="both"/>
        <w:rPr>
          <w:rFonts w:ascii="Arial" w:hAnsi="Arial" w:cs="Arial"/>
          <w:sz w:val="24"/>
          <w:szCs w:val="24"/>
        </w:rPr>
      </w:pPr>
      <w:r w:rsidRPr="00706409">
        <w:rPr>
          <w:rFonts w:ascii="Arial" w:hAnsi="Arial" w:cs="Arial"/>
          <w:sz w:val="24"/>
          <w:szCs w:val="24"/>
        </w:rPr>
        <w:t>Key achievements in the last year include:</w:t>
      </w:r>
    </w:p>
    <w:p w:rsidR="00706409" w:rsidRPr="00706409" w:rsidRDefault="00F641D9" w:rsidP="00706409">
      <w:pPr>
        <w:spacing w:after="0" w:line="240" w:lineRule="auto"/>
        <w:ind w:hanging="426"/>
        <w:jc w:val="both"/>
        <w:rPr>
          <w:rFonts w:ascii="Arial" w:hAnsi="Arial" w:cs="Arial"/>
          <w:sz w:val="24"/>
          <w:szCs w:val="24"/>
        </w:rPr>
      </w:pPr>
    </w:p>
    <w:p w:rsidR="00706409" w:rsidRPr="00706409" w:rsidRDefault="00D205EF" w:rsidP="00706409">
      <w:pPr>
        <w:numPr>
          <w:ilvl w:val="0"/>
          <w:numId w:val="9"/>
        </w:numPr>
        <w:spacing w:after="0" w:line="240" w:lineRule="auto"/>
        <w:contextualSpacing/>
        <w:rPr>
          <w:rFonts w:ascii="Arial" w:hAnsi="Arial" w:cs="Arial"/>
          <w:sz w:val="24"/>
          <w:szCs w:val="24"/>
        </w:rPr>
      </w:pPr>
      <w:r w:rsidRPr="00706409">
        <w:rPr>
          <w:rFonts w:ascii="Arial" w:hAnsi="Arial" w:cs="Arial"/>
          <w:b/>
          <w:sz w:val="24"/>
          <w:szCs w:val="24"/>
        </w:rPr>
        <w:t xml:space="preserve">Preston Western Distributor – </w:t>
      </w:r>
      <w:r w:rsidRPr="00706409">
        <w:rPr>
          <w:rFonts w:ascii="Arial" w:hAnsi="Arial" w:cs="Arial"/>
          <w:sz w:val="24"/>
          <w:szCs w:val="24"/>
        </w:rPr>
        <w:t>CPO now confirmed by Secretary of State.  Business Case now formally submitted to the independent assurer Atkins, to be considered by TFL and LEP Board in June, with DFT approval anticipated by the end of September.  The project remains on programme to commence on site by November 2019.</w:t>
      </w:r>
    </w:p>
    <w:p w:rsidR="00706409" w:rsidRPr="00706409" w:rsidRDefault="00F641D9" w:rsidP="00706409">
      <w:pPr>
        <w:spacing w:after="0" w:line="240" w:lineRule="auto"/>
        <w:rPr>
          <w:rFonts w:ascii="Arial" w:hAnsi="Arial" w:cs="Arial"/>
          <w:b/>
          <w:sz w:val="24"/>
          <w:szCs w:val="24"/>
        </w:rPr>
      </w:pPr>
    </w:p>
    <w:p w:rsidR="00706409" w:rsidRPr="00706409" w:rsidRDefault="00D205EF" w:rsidP="00706409">
      <w:pPr>
        <w:numPr>
          <w:ilvl w:val="0"/>
          <w:numId w:val="9"/>
        </w:numPr>
        <w:spacing w:after="0" w:line="240" w:lineRule="auto"/>
        <w:contextualSpacing/>
        <w:rPr>
          <w:rFonts w:ascii="Arial" w:hAnsi="Arial" w:cs="Arial"/>
          <w:sz w:val="24"/>
          <w:szCs w:val="24"/>
        </w:rPr>
      </w:pPr>
      <w:r w:rsidRPr="00706409">
        <w:rPr>
          <w:rFonts w:ascii="Arial" w:hAnsi="Arial" w:cs="Arial"/>
          <w:b/>
          <w:sz w:val="24"/>
          <w:szCs w:val="24"/>
        </w:rPr>
        <w:t xml:space="preserve">A582 South </w:t>
      </w:r>
      <w:proofErr w:type="spellStart"/>
      <w:r w:rsidRPr="00706409">
        <w:rPr>
          <w:rFonts w:ascii="Arial" w:hAnsi="Arial" w:cs="Arial"/>
          <w:b/>
          <w:sz w:val="24"/>
          <w:szCs w:val="24"/>
        </w:rPr>
        <w:t>Ribble</w:t>
      </w:r>
      <w:proofErr w:type="spellEnd"/>
      <w:r w:rsidRPr="00706409">
        <w:rPr>
          <w:rFonts w:ascii="Arial" w:hAnsi="Arial" w:cs="Arial"/>
          <w:b/>
          <w:sz w:val="24"/>
          <w:szCs w:val="24"/>
        </w:rPr>
        <w:t xml:space="preserve"> Western Distributor – </w:t>
      </w:r>
      <w:r w:rsidRPr="00706409">
        <w:rPr>
          <w:rFonts w:ascii="Arial" w:hAnsi="Arial" w:cs="Arial"/>
          <w:sz w:val="24"/>
          <w:szCs w:val="24"/>
        </w:rPr>
        <w:t xml:space="preserve">Preparation of the Strategic Outline Business Case (SOBC) for submission to Transport for the North, is underway and carries the prospect of securing up to an additional £50m of funding towards the </w:t>
      </w:r>
      <w:r>
        <w:rPr>
          <w:rFonts w:ascii="Arial" w:hAnsi="Arial" w:cs="Arial"/>
          <w:sz w:val="24"/>
          <w:szCs w:val="24"/>
        </w:rPr>
        <w:t xml:space="preserve">full A582 </w:t>
      </w:r>
      <w:r w:rsidRPr="00706409">
        <w:rPr>
          <w:rFonts w:ascii="Arial" w:hAnsi="Arial" w:cs="Arial"/>
          <w:sz w:val="24"/>
          <w:szCs w:val="24"/>
        </w:rPr>
        <w:t xml:space="preserve">scheme through the Government's Major Road </w:t>
      </w:r>
      <w:r w:rsidRPr="00706409">
        <w:rPr>
          <w:rFonts w:ascii="Arial" w:hAnsi="Arial" w:cs="Arial"/>
          <w:sz w:val="24"/>
          <w:szCs w:val="24"/>
        </w:rPr>
        <w:lastRenderedPageBreak/>
        <w:t xml:space="preserve">Network funding.  The SOBC will be submitted to </w:t>
      </w:r>
      <w:proofErr w:type="spellStart"/>
      <w:r w:rsidRPr="00706409">
        <w:rPr>
          <w:rFonts w:ascii="Arial" w:hAnsi="Arial" w:cs="Arial"/>
          <w:sz w:val="24"/>
          <w:szCs w:val="24"/>
        </w:rPr>
        <w:t>TfN</w:t>
      </w:r>
      <w:proofErr w:type="spellEnd"/>
      <w:r w:rsidRPr="00706409">
        <w:rPr>
          <w:rFonts w:ascii="Arial" w:hAnsi="Arial" w:cs="Arial"/>
          <w:sz w:val="24"/>
          <w:szCs w:val="24"/>
        </w:rPr>
        <w:t xml:space="preserve"> this summer to be incorporated into its regional evidence to </w:t>
      </w:r>
      <w:proofErr w:type="spellStart"/>
      <w:r w:rsidRPr="00706409">
        <w:rPr>
          <w:rFonts w:ascii="Arial" w:hAnsi="Arial" w:cs="Arial"/>
          <w:sz w:val="24"/>
          <w:szCs w:val="24"/>
        </w:rPr>
        <w:t>DfT</w:t>
      </w:r>
      <w:proofErr w:type="spellEnd"/>
      <w:r w:rsidRPr="00706409">
        <w:rPr>
          <w:rFonts w:ascii="Arial" w:hAnsi="Arial" w:cs="Arial"/>
          <w:sz w:val="24"/>
          <w:szCs w:val="24"/>
        </w:rPr>
        <w:t xml:space="preserve">  Preparation of the planning application and compulsory purchase order for the widening scheme, and detailed design exercise continue at pace, targeting a potential start to these works by the end of 2021.</w:t>
      </w:r>
    </w:p>
    <w:p w:rsidR="00706409" w:rsidRPr="00706409" w:rsidRDefault="00F641D9" w:rsidP="00706409">
      <w:pPr>
        <w:spacing w:after="0" w:line="240" w:lineRule="auto"/>
        <w:rPr>
          <w:rFonts w:ascii="Arial" w:hAnsi="Arial" w:cs="Arial"/>
          <w:sz w:val="24"/>
          <w:szCs w:val="24"/>
        </w:rPr>
      </w:pPr>
    </w:p>
    <w:p w:rsidR="00706409" w:rsidRPr="00706409" w:rsidRDefault="00D205EF" w:rsidP="00706409">
      <w:pPr>
        <w:numPr>
          <w:ilvl w:val="0"/>
          <w:numId w:val="9"/>
        </w:numPr>
        <w:spacing w:after="0" w:line="240" w:lineRule="auto"/>
        <w:contextualSpacing/>
        <w:rPr>
          <w:rFonts w:ascii="Arial" w:hAnsi="Arial" w:cs="Arial"/>
          <w:sz w:val="24"/>
          <w:szCs w:val="24"/>
        </w:rPr>
      </w:pPr>
      <w:r w:rsidRPr="00706409">
        <w:rPr>
          <w:rFonts w:ascii="Arial" w:hAnsi="Arial" w:cs="Arial"/>
          <w:b/>
          <w:sz w:val="24"/>
          <w:szCs w:val="24"/>
        </w:rPr>
        <w:t xml:space="preserve">Penwortham Bypass – </w:t>
      </w:r>
      <w:r w:rsidRPr="00706409">
        <w:rPr>
          <w:rFonts w:ascii="Arial" w:hAnsi="Arial" w:cs="Arial"/>
          <w:sz w:val="24"/>
          <w:szCs w:val="24"/>
        </w:rPr>
        <w:t>Construction on programme to complete early in 2020.</w:t>
      </w:r>
    </w:p>
    <w:p w:rsidR="00706409" w:rsidRPr="00706409" w:rsidRDefault="00F641D9" w:rsidP="00706409">
      <w:pPr>
        <w:spacing w:after="0" w:line="240" w:lineRule="auto"/>
        <w:rPr>
          <w:rFonts w:ascii="Arial" w:hAnsi="Arial" w:cs="Arial"/>
          <w:sz w:val="24"/>
          <w:szCs w:val="24"/>
        </w:rPr>
      </w:pPr>
    </w:p>
    <w:p w:rsidR="00706409" w:rsidRPr="00706409" w:rsidRDefault="00D205EF" w:rsidP="00706409">
      <w:pPr>
        <w:numPr>
          <w:ilvl w:val="0"/>
          <w:numId w:val="9"/>
        </w:numPr>
        <w:spacing w:after="0" w:line="240" w:lineRule="auto"/>
        <w:contextualSpacing/>
        <w:rPr>
          <w:rFonts w:ascii="Arial" w:hAnsi="Arial" w:cs="Arial"/>
          <w:sz w:val="24"/>
          <w:szCs w:val="24"/>
        </w:rPr>
      </w:pPr>
      <w:r w:rsidRPr="00706409">
        <w:rPr>
          <w:rFonts w:ascii="Arial" w:hAnsi="Arial" w:cs="Arial"/>
          <w:b/>
          <w:sz w:val="24"/>
          <w:szCs w:val="24"/>
        </w:rPr>
        <w:t>Broughton corridor</w:t>
      </w:r>
      <w:r w:rsidRPr="00706409">
        <w:rPr>
          <w:rFonts w:ascii="Arial" w:hAnsi="Arial" w:cs="Arial"/>
          <w:sz w:val="24"/>
          <w:szCs w:val="24"/>
        </w:rPr>
        <w:t xml:space="preserve"> – good progress made with regard to the village centre public realm upgrade works.  Completion on programme for quarter 2 2019/20.</w:t>
      </w:r>
    </w:p>
    <w:p w:rsidR="00706409" w:rsidRPr="00706409" w:rsidRDefault="00F641D9" w:rsidP="00706409">
      <w:pPr>
        <w:spacing w:after="0" w:line="240" w:lineRule="auto"/>
        <w:rPr>
          <w:rFonts w:ascii="Arial" w:hAnsi="Arial" w:cs="Arial"/>
          <w:sz w:val="24"/>
          <w:szCs w:val="24"/>
        </w:rPr>
      </w:pPr>
    </w:p>
    <w:p w:rsidR="00706409" w:rsidRPr="00706409" w:rsidRDefault="00D205EF" w:rsidP="00706409">
      <w:pPr>
        <w:numPr>
          <w:ilvl w:val="0"/>
          <w:numId w:val="9"/>
        </w:numPr>
        <w:spacing w:after="0" w:line="240" w:lineRule="auto"/>
        <w:contextualSpacing/>
        <w:rPr>
          <w:rFonts w:ascii="Arial" w:hAnsi="Arial" w:cs="Arial"/>
          <w:sz w:val="24"/>
          <w:szCs w:val="24"/>
        </w:rPr>
      </w:pPr>
      <w:r w:rsidRPr="00706409">
        <w:rPr>
          <w:rFonts w:ascii="Arial" w:hAnsi="Arial" w:cs="Arial"/>
          <w:b/>
          <w:sz w:val="24"/>
          <w:szCs w:val="24"/>
        </w:rPr>
        <w:t xml:space="preserve">Lancashire Central – </w:t>
      </w:r>
      <w:r w:rsidRPr="00706409">
        <w:rPr>
          <w:rFonts w:ascii="Arial" w:hAnsi="Arial" w:cs="Arial"/>
          <w:sz w:val="24"/>
          <w:szCs w:val="24"/>
        </w:rPr>
        <w:t>Plans have now been announced for the future of the site which will include a mix of industrial, business and retail uses as well as residential development.  The site is expected to bring forward around 3000 jobs.  Development of the full site is expected to take 6-8 years with the ambition being to have the first occupier on site by 2021.  Implications for the City Deal are currently being considered e.g. fewer jobs numbers, but these will be higher quality jobs.</w:t>
      </w:r>
    </w:p>
    <w:p w:rsidR="00706409" w:rsidRPr="00706409" w:rsidRDefault="00F641D9" w:rsidP="00706409">
      <w:pPr>
        <w:spacing w:after="0" w:line="240" w:lineRule="auto"/>
        <w:ind w:left="-426"/>
        <w:jc w:val="both"/>
        <w:rPr>
          <w:rFonts w:ascii="Arial" w:hAnsi="Arial" w:cs="Arial"/>
          <w:b/>
          <w:sz w:val="24"/>
          <w:szCs w:val="24"/>
        </w:rPr>
      </w:pPr>
    </w:p>
    <w:p w:rsidR="00706409" w:rsidRPr="00706409" w:rsidRDefault="00D205EF" w:rsidP="00BC4E16">
      <w:pPr>
        <w:spacing w:after="0" w:line="240" w:lineRule="auto"/>
        <w:jc w:val="both"/>
        <w:rPr>
          <w:rFonts w:ascii="Arial" w:hAnsi="Arial" w:cs="Arial"/>
          <w:b/>
          <w:sz w:val="24"/>
          <w:szCs w:val="24"/>
        </w:rPr>
      </w:pPr>
      <w:r w:rsidRPr="00706409">
        <w:rPr>
          <w:rFonts w:ascii="Arial" w:hAnsi="Arial" w:cs="Arial"/>
          <w:b/>
          <w:sz w:val="24"/>
          <w:szCs w:val="24"/>
        </w:rPr>
        <w:t xml:space="preserve">9.0 Risk Analysis/Management </w:t>
      </w:r>
    </w:p>
    <w:p w:rsidR="00706409" w:rsidRPr="00706409" w:rsidRDefault="00F641D9" w:rsidP="00BC4E16">
      <w:pPr>
        <w:autoSpaceDE w:val="0"/>
        <w:autoSpaceDN w:val="0"/>
        <w:adjustRightInd w:val="0"/>
        <w:spacing w:after="0" w:line="240" w:lineRule="auto"/>
        <w:rPr>
          <w:rFonts w:ascii="Arial" w:hAnsi="Arial" w:cs="Arial"/>
          <w:b/>
          <w:sz w:val="24"/>
          <w:szCs w:val="24"/>
          <w:u w:val="single"/>
        </w:rPr>
      </w:pPr>
    </w:p>
    <w:p w:rsidR="00706409" w:rsidRPr="00706409" w:rsidRDefault="00D205EF" w:rsidP="00BC4E16">
      <w:pPr>
        <w:autoSpaceDE w:val="0"/>
        <w:autoSpaceDN w:val="0"/>
        <w:adjustRightInd w:val="0"/>
        <w:spacing w:after="0" w:line="240" w:lineRule="auto"/>
        <w:rPr>
          <w:rFonts w:ascii="Arial" w:hAnsi="Arial" w:cs="Arial"/>
          <w:b/>
          <w:sz w:val="24"/>
          <w:szCs w:val="24"/>
        </w:rPr>
      </w:pPr>
      <w:r w:rsidRPr="00706409">
        <w:rPr>
          <w:rFonts w:ascii="Arial" w:hAnsi="Arial" w:cs="Arial"/>
          <w:sz w:val="24"/>
          <w:szCs w:val="24"/>
        </w:rPr>
        <w:t xml:space="preserve">Attached to this report is the current </w:t>
      </w:r>
      <w:r w:rsidR="00F641D9">
        <w:rPr>
          <w:rFonts w:ascii="Arial" w:hAnsi="Arial" w:cs="Arial"/>
          <w:sz w:val="24"/>
          <w:szCs w:val="24"/>
        </w:rPr>
        <w:t>programme level risk analysis (A</w:t>
      </w:r>
      <w:r w:rsidRPr="00706409">
        <w:rPr>
          <w:rFonts w:ascii="Arial" w:hAnsi="Arial" w:cs="Arial"/>
          <w:sz w:val="24"/>
          <w:szCs w:val="24"/>
        </w:rPr>
        <w:t>ppendix 5) which is supported and informed by lower level operational risk logs managed by project managers.  The programme level risk analysis is updated 6 monthly in keeping with Government reporting requirements.</w:t>
      </w:r>
    </w:p>
    <w:p w:rsidR="00706409" w:rsidRPr="00D3134F" w:rsidRDefault="00F641D9" w:rsidP="00D3134F">
      <w:pPr>
        <w:spacing w:after="0" w:line="240" w:lineRule="auto"/>
        <w:rPr>
          <w:rFonts w:ascii="Arial" w:hAnsi="Arial" w:cs="Arial"/>
          <w:b/>
          <w:sz w:val="24"/>
          <w:szCs w:val="24"/>
        </w:rPr>
      </w:pPr>
    </w:p>
    <w:p w:rsidR="00EB4643" w:rsidRPr="0022408A" w:rsidRDefault="00D205EF" w:rsidP="00EB4643">
      <w:pPr>
        <w:keepNext/>
        <w:keepLines/>
        <w:spacing w:before="40" w:after="0" w:line="249" w:lineRule="auto"/>
        <w:ind w:left="542" w:hanging="542"/>
        <w:outlineLvl w:val="4"/>
        <w:rPr>
          <w:rFonts w:ascii="Arial" w:eastAsia="Times New Roman" w:hAnsi="Arial" w:cs="Times New Roman"/>
          <w:b/>
          <w:sz w:val="24"/>
          <w:szCs w:val="24"/>
          <w:lang w:eastAsia="en-GB"/>
        </w:rPr>
      </w:pPr>
      <w:r w:rsidRPr="0022408A">
        <w:rPr>
          <w:rFonts w:ascii="Arial" w:eastAsia="Times New Roman" w:hAnsi="Arial" w:cs="Times New Roman"/>
          <w:b/>
          <w:sz w:val="24"/>
          <w:szCs w:val="24"/>
          <w:lang w:eastAsia="en-GB"/>
        </w:rPr>
        <w:t>List of Background Papers</w:t>
      </w:r>
    </w:p>
    <w:tbl>
      <w:tblPr>
        <w:tblW w:w="9314" w:type="dxa"/>
        <w:tblLayout w:type="fixed"/>
        <w:tblLook w:val="0000" w:firstRow="0" w:lastRow="0" w:firstColumn="0" w:lastColumn="0" w:noHBand="0" w:noVBand="0"/>
      </w:tblPr>
      <w:tblGrid>
        <w:gridCol w:w="3560"/>
        <w:gridCol w:w="2527"/>
        <w:gridCol w:w="3227"/>
      </w:tblGrid>
      <w:tr w:rsidR="00DB20DF" w:rsidTr="00BC4E16">
        <w:trPr>
          <w:trHeight w:val="353"/>
        </w:trPr>
        <w:tc>
          <w:tcPr>
            <w:tcW w:w="3560" w:type="dxa"/>
          </w:tcPr>
          <w:p w:rsidR="00EB4643" w:rsidRPr="0022408A" w:rsidRDefault="00D205EF"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Paper</w:t>
            </w:r>
          </w:p>
        </w:tc>
        <w:tc>
          <w:tcPr>
            <w:tcW w:w="2527" w:type="dxa"/>
          </w:tcPr>
          <w:p w:rsidR="00EB4643" w:rsidRPr="0022408A" w:rsidRDefault="00D205EF"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Date</w:t>
            </w:r>
          </w:p>
        </w:tc>
        <w:tc>
          <w:tcPr>
            <w:tcW w:w="3225" w:type="dxa"/>
          </w:tcPr>
          <w:p w:rsidR="00EB4643" w:rsidRPr="0022408A" w:rsidRDefault="00D205EF"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Contact/Tel</w:t>
            </w:r>
          </w:p>
        </w:tc>
      </w:tr>
      <w:tr w:rsidR="00DB20DF" w:rsidTr="00BC4E16">
        <w:trPr>
          <w:trHeight w:val="334"/>
        </w:trPr>
        <w:tc>
          <w:tcPr>
            <w:tcW w:w="3560" w:type="dxa"/>
          </w:tcPr>
          <w:p w:rsidR="00EB4643" w:rsidRDefault="00F641D9" w:rsidP="005229F6">
            <w:pPr>
              <w:spacing w:after="5" w:line="249" w:lineRule="auto"/>
              <w:ind w:left="542" w:hanging="542"/>
              <w:rPr>
                <w:rFonts w:ascii="Arial" w:eastAsia="Calibri" w:hAnsi="Arial" w:cs="Arial"/>
                <w:sz w:val="24"/>
                <w:szCs w:val="24"/>
                <w:lang w:eastAsia="en-GB"/>
              </w:rPr>
            </w:pPr>
          </w:p>
          <w:p w:rsidR="00612BC9" w:rsidRDefault="00612BC9" w:rsidP="005229F6">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None</w:t>
            </w:r>
          </w:p>
          <w:p w:rsidR="00612BC9" w:rsidRPr="0022408A" w:rsidRDefault="00612BC9" w:rsidP="005229F6">
            <w:pPr>
              <w:spacing w:after="5" w:line="249" w:lineRule="auto"/>
              <w:ind w:left="542" w:hanging="542"/>
              <w:rPr>
                <w:rFonts w:ascii="Arial" w:eastAsia="Calibri" w:hAnsi="Arial" w:cs="Arial"/>
                <w:sz w:val="24"/>
                <w:szCs w:val="24"/>
                <w:lang w:eastAsia="en-GB"/>
              </w:rPr>
            </w:pPr>
          </w:p>
        </w:tc>
        <w:tc>
          <w:tcPr>
            <w:tcW w:w="2527" w:type="dxa"/>
          </w:tcPr>
          <w:p w:rsidR="00EB4643" w:rsidRPr="0022408A" w:rsidRDefault="00F641D9" w:rsidP="005229F6">
            <w:pPr>
              <w:spacing w:after="5" w:line="249" w:lineRule="auto"/>
              <w:ind w:left="542" w:hanging="542"/>
              <w:rPr>
                <w:rFonts w:ascii="Arial" w:eastAsia="Calibri" w:hAnsi="Arial" w:cs="Arial"/>
                <w:sz w:val="24"/>
                <w:szCs w:val="24"/>
                <w:lang w:eastAsia="en-GB"/>
              </w:rPr>
            </w:pPr>
          </w:p>
        </w:tc>
        <w:tc>
          <w:tcPr>
            <w:tcW w:w="3225" w:type="dxa"/>
          </w:tcPr>
          <w:p w:rsidR="00EB4643" w:rsidRPr="0022408A" w:rsidRDefault="00F641D9" w:rsidP="005229F6">
            <w:pPr>
              <w:spacing w:after="5" w:line="249" w:lineRule="auto"/>
              <w:ind w:left="542" w:hanging="542"/>
              <w:rPr>
                <w:rFonts w:ascii="Arial" w:eastAsia="Calibri" w:hAnsi="Arial" w:cs="Arial"/>
                <w:sz w:val="24"/>
                <w:szCs w:val="24"/>
                <w:lang w:eastAsia="en-GB"/>
              </w:rPr>
            </w:pPr>
          </w:p>
        </w:tc>
      </w:tr>
      <w:tr w:rsidR="00DB20DF" w:rsidTr="00BC4E16">
        <w:trPr>
          <w:cantSplit/>
          <w:trHeight w:val="651"/>
        </w:trPr>
        <w:tc>
          <w:tcPr>
            <w:tcW w:w="9314" w:type="dxa"/>
            <w:gridSpan w:val="3"/>
          </w:tcPr>
          <w:p w:rsidR="00EB4643" w:rsidRPr="0022408A" w:rsidRDefault="00D205EF" w:rsidP="005229F6">
            <w:pPr>
              <w:spacing w:after="5" w:line="249" w:lineRule="auto"/>
              <w:ind w:left="542" w:hanging="542"/>
              <w:rPr>
                <w:rFonts w:ascii="Arial" w:eastAsia="Calibri" w:hAnsi="Arial" w:cs="Arial"/>
                <w:color w:val="000000"/>
                <w:sz w:val="24"/>
                <w:szCs w:val="24"/>
                <w:lang w:eastAsia="en-GB"/>
              </w:rPr>
            </w:pPr>
            <w:r w:rsidRPr="0022408A">
              <w:rPr>
                <w:rFonts w:ascii="Arial" w:eastAsia="Calibri" w:hAnsi="Arial" w:cs="Arial"/>
                <w:color w:val="000000"/>
                <w:sz w:val="24"/>
                <w:szCs w:val="24"/>
                <w:lang w:eastAsia="en-GB"/>
              </w:rPr>
              <w:t xml:space="preserve">Reason for inclusion in Part II, if appropriate </w:t>
            </w:r>
          </w:p>
          <w:p w:rsidR="00EB4643" w:rsidRDefault="00F641D9" w:rsidP="00BC4E16">
            <w:pPr>
              <w:spacing w:after="5" w:line="249" w:lineRule="auto"/>
              <w:ind w:left="542" w:hanging="542"/>
              <w:rPr>
                <w:rFonts w:ascii="Arial" w:eastAsia="Calibri" w:hAnsi="Arial" w:cs="Arial"/>
                <w:sz w:val="24"/>
                <w:szCs w:val="24"/>
                <w:lang w:eastAsia="en-GB"/>
              </w:rPr>
            </w:pPr>
          </w:p>
          <w:p w:rsidR="00612BC9" w:rsidRPr="00BC4E16" w:rsidRDefault="00612BC9" w:rsidP="00BC4E16">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N/A</w:t>
            </w:r>
          </w:p>
        </w:tc>
      </w:tr>
    </w:tbl>
    <w:p w:rsidR="00EB4643" w:rsidRPr="009D435E" w:rsidRDefault="00F641D9" w:rsidP="00BC4E16">
      <w:pPr>
        <w:pStyle w:val="NoSpacing"/>
        <w:jc w:val="both"/>
        <w:rPr>
          <w:rFonts w:cs="Arial"/>
          <w:szCs w:val="24"/>
        </w:rPr>
      </w:pPr>
    </w:p>
    <w:sectPr w:rsidR="00EB4643" w:rsidRPr="009D435E">
      <w:headerReference w:type="default" r:id="rId10"/>
      <w:footerReference w:type="even"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816" w:rsidRDefault="00D205EF">
      <w:pPr>
        <w:spacing w:after="0" w:line="240" w:lineRule="auto"/>
      </w:pPr>
      <w:r>
        <w:separator/>
      </w:r>
    </w:p>
  </w:endnote>
  <w:endnote w:type="continuationSeparator" w:id="0">
    <w:p w:rsidR="009F6816" w:rsidRDefault="00D2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F641D9" w:rsidP="00440F6A">
    <w:pPr>
      <w:pStyle w:val="Footer"/>
    </w:pPr>
    <w:bookmarkStart w:id="1" w:name="aliashAdvancedFooterprot1FooterEvenPages"/>
  </w:p>
  <w:bookmarkEnd w:id="1"/>
  <w:p w:rsidR="006A1583" w:rsidRDefault="00F64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F641D9" w:rsidP="00440F6A">
    <w:pPr>
      <w:pStyle w:val="Footer"/>
    </w:pPr>
    <w:bookmarkStart w:id="2" w:name="aliashAdvancedFooterprotec1FooterPrimary"/>
  </w:p>
  <w:bookmarkEnd w:id="2"/>
  <w:p w:rsidR="006A1583" w:rsidRDefault="00F64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F641D9" w:rsidP="00440F6A">
    <w:pPr>
      <w:pStyle w:val="Footer"/>
    </w:pPr>
    <w:bookmarkStart w:id="3" w:name="aliashAdvancedFooterprot1FooterFirstPage"/>
  </w:p>
  <w:bookmarkEnd w:id="3"/>
  <w:p w:rsidR="006A1583" w:rsidRDefault="00F64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816" w:rsidRDefault="00D205EF">
      <w:pPr>
        <w:spacing w:after="0" w:line="240" w:lineRule="auto"/>
      </w:pPr>
      <w:r>
        <w:separator/>
      </w:r>
    </w:p>
  </w:footnote>
  <w:footnote w:type="continuationSeparator" w:id="0">
    <w:p w:rsidR="009F6816" w:rsidRDefault="00D20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D205EF" w:rsidP="00054E0A">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04959"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221"/>
    <w:multiLevelType w:val="hybridMultilevel"/>
    <w:tmpl w:val="8ADA454E"/>
    <w:lvl w:ilvl="0" w:tplc="3320BBE6">
      <w:start w:val="1"/>
      <w:numFmt w:val="upperRoman"/>
      <w:lvlText w:val="%1."/>
      <w:lvlJc w:val="right"/>
      <w:pPr>
        <w:ind w:left="927" w:hanging="360"/>
      </w:pPr>
      <w:rPr>
        <w:rFonts w:hint="default"/>
      </w:rPr>
    </w:lvl>
    <w:lvl w:ilvl="1" w:tplc="EDAEC3CC" w:tentative="1">
      <w:start w:val="1"/>
      <w:numFmt w:val="bullet"/>
      <w:lvlText w:val="o"/>
      <w:lvlJc w:val="left"/>
      <w:pPr>
        <w:ind w:left="1440" w:hanging="360"/>
      </w:pPr>
      <w:rPr>
        <w:rFonts w:ascii="Courier New" w:hAnsi="Courier New" w:cs="Courier New" w:hint="default"/>
      </w:rPr>
    </w:lvl>
    <w:lvl w:ilvl="2" w:tplc="12163702" w:tentative="1">
      <w:start w:val="1"/>
      <w:numFmt w:val="bullet"/>
      <w:lvlText w:val=""/>
      <w:lvlJc w:val="left"/>
      <w:pPr>
        <w:ind w:left="2160" w:hanging="360"/>
      </w:pPr>
      <w:rPr>
        <w:rFonts w:ascii="Wingdings" w:hAnsi="Wingdings" w:hint="default"/>
      </w:rPr>
    </w:lvl>
    <w:lvl w:ilvl="3" w:tplc="ACCCA716" w:tentative="1">
      <w:start w:val="1"/>
      <w:numFmt w:val="bullet"/>
      <w:lvlText w:val=""/>
      <w:lvlJc w:val="left"/>
      <w:pPr>
        <w:ind w:left="2880" w:hanging="360"/>
      </w:pPr>
      <w:rPr>
        <w:rFonts w:ascii="Symbol" w:hAnsi="Symbol" w:hint="default"/>
      </w:rPr>
    </w:lvl>
    <w:lvl w:ilvl="4" w:tplc="9CB0A44A" w:tentative="1">
      <w:start w:val="1"/>
      <w:numFmt w:val="bullet"/>
      <w:lvlText w:val="o"/>
      <w:lvlJc w:val="left"/>
      <w:pPr>
        <w:ind w:left="3600" w:hanging="360"/>
      </w:pPr>
      <w:rPr>
        <w:rFonts w:ascii="Courier New" w:hAnsi="Courier New" w:cs="Courier New" w:hint="default"/>
      </w:rPr>
    </w:lvl>
    <w:lvl w:ilvl="5" w:tplc="1D406AAE" w:tentative="1">
      <w:start w:val="1"/>
      <w:numFmt w:val="bullet"/>
      <w:lvlText w:val=""/>
      <w:lvlJc w:val="left"/>
      <w:pPr>
        <w:ind w:left="4320" w:hanging="360"/>
      </w:pPr>
      <w:rPr>
        <w:rFonts w:ascii="Wingdings" w:hAnsi="Wingdings" w:hint="default"/>
      </w:rPr>
    </w:lvl>
    <w:lvl w:ilvl="6" w:tplc="1DFCAFC6" w:tentative="1">
      <w:start w:val="1"/>
      <w:numFmt w:val="bullet"/>
      <w:lvlText w:val=""/>
      <w:lvlJc w:val="left"/>
      <w:pPr>
        <w:ind w:left="5040" w:hanging="360"/>
      </w:pPr>
      <w:rPr>
        <w:rFonts w:ascii="Symbol" w:hAnsi="Symbol" w:hint="default"/>
      </w:rPr>
    </w:lvl>
    <w:lvl w:ilvl="7" w:tplc="CA965C90" w:tentative="1">
      <w:start w:val="1"/>
      <w:numFmt w:val="bullet"/>
      <w:lvlText w:val="o"/>
      <w:lvlJc w:val="left"/>
      <w:pPr>
        <w:ind w:left="5760" w:hanging="360"/>
      </w:pPr>
      <w:rPr>
        <w:rFonts w:ascii="Courier New" w:hAnsi="Courier New" w:cs="Courier New" w:hint="default"/>
      </w:rPr>
    </w:lvl>
    <w:lvl w:ilvl="8" w:tplc="9BFEE07C" w:tentative="1">
      <w:start w:val="1"/>
      <w:numFmt w:val="bullet"/>
      <w:lvlText w:val=""/>
      <w:lvlJc w:val="left"/>
      <w:pPr>
        <w:ind w:left="6480" w:hanging="360"/>
      </w:pPr>
      <w:rPr>
        <w:rFonts w:ascii="Wingdings" w:hAnsi="Wingdings" w:hint="default"/>
      </w:rPr>
    </w:lvl>
  </w:abstractNum>
  <w:abstractNum w:abstractNumId="1" w15:restartNumberingAfterBreak="0">
    <w:nsid w:val="08A42B64"/>
    <w:multiLevelType w:val="hybridMultilevel"/>
    <w:tmpl w:val="C31CC5EA"/>
    <w:lvl w:ilvl="0" w:tplc="76EA752A">
      <w:start w:val="1"/>
      <w:numFmt w:val="bullet"/>
      <w:lvlText w:val=""/>
      <w:lvlJc w:val="left"/>
      <w:pPr>
        <w:ind w:left="720" w:hanging="360"/>
      </w:pPr>
      <w:rPr>
        <w:rFonts w:ascii="Symbol" w:hAnsi="Symbol" w:hint="default"/>
      </w:rPr>
    </w:lvl>
    <w:lvl w:ilvl="1" w:tplc="2A36D800" w:tentative="1">
      <w:start w:val="1"/>
      <w:numFmt w:val="bullet"/>
      <w:lvlText w:val="o"/>
      <w:lvlJc w:val="left"/>
      <w:pPr>
        <w:ind w:left="1440" w:hanging="360"/>
      </w:pPr>
      <w:rPr>
        <w:rFonts w:ascii="Courier New" w:hAnsi="Courier New" w:cs="Courier New" w:hint="default"/>
      </w:rPr>
    </w:lvl>
    <w:lvl w:ilvl="2" w:tplc="38EE7852" w:tentative="1">
      <w:start w:val="1"/>
      <w:numFmt w:val="bullet"/>
      <w:lvlText w:val=""/>
      <w:lvlJc w:val="left"/>
      <w:pPr>
        <w:ind w:left="2160" w:hanging="360"/>
      </w:pPr>
      <w:rPr>
        <w:rFonts w:ascii="Wingdings" w:hAnsi="Wingdings" w:hint="default"/>
      </w:rPr>
    </w:lvl>
    <w:lvl w:ilvl="3" w:tplc="6D90A3AE" w:tentative="1">
      <w:start w:val="1"/>
      <w:numFmt w:val="bullet"/>
      <w:lvlText w:val=""/>
      <w:lvlJc w:val="left"/>
      <w:pPr>
        <w:ind w:left="2880" w:hanging="360"/>
      </w:pPr>
      <w:rPr>
        <w:rFonts w:ascii="Symbol" w:hAnsi="Symbol" w:hint="default"/>
      </w:rPr>
    </w:lvl>
    <w:lvl w:ilvl="4" w:tplc="F57C4DC2" w:tentative="1">
      <w:start w:val="1"/>
      <w:numFmt w:val="bullet"/>
      <w:lvlText w:val="o"/>
      <w:lvlJc w:val="left"/>
      <w:pPr>
        <w:ind w:left="3600" w:hanging="360"/>
      </w:pPr>
      <w:rPr>
        <w:rFonts w:ascii="Courier New" w:hAnsi="Courier New" w:cs="Courier New" w:hint="default"/>
      </w:rPr>
    </w:lvl>
    <w:lvl w:ilvl="5" w:tplc="6F2EAD18" w:tentative="1">
      <w:start w:val="1"/>
      <w:numFmt w:val="bullet"/>
      <w:lvlText w:val=""/>
      <w:lvlJc w:val="left"/>
      <w:pPr>
        <w:ind w:left="4320" w:hanging="360"/>
      </w:pPr>
      <w:rPr>
        <w:rFonts w:ascii="Wingdings" w:hAnsi="Wingdings" w:hint="default"/>
      </w:rPr>
    </w:lvl>
    <w:lvl w:ilvl="6" w:tplc="1F14C48A" w:tentative="1">
      <w:start w:val="1"/>
      <w:numFmt w:val="bullet"/>
      <w:lvlText w:val=""/>
      <w:lvlJc w:val="left"/>
      <w:pPr>
        <w:ind w:left="5040" w:hanging="360"/>
      </w:pPr>
      <w:rPr>
        <w:rFonts w:ascii="Symbol" w:hAnsi="Symbol" w:hint="default"/>
      </w:rPr>
    </w:lvl>
    <w:lvl w:ilvl="7" w:tplc="7E52A4C8" w:tentative="1">
      <w:start w:val="1"/>
      <w:numFmt w:val="bullet"/>
      <w:lvlText w:val="o"/>
      <w:lvlJc w:val="left"/>
      <w:pPr>
        <w:ind w:left="5760" w:hanging="360"/>
      </w:pPr>
      <w:rPr>
        <w:rFonts w:ascii="Courier New" w:hAnsi="Courier New" w:cs="Courier New" w:hint="default"/>
      </w:rPr>
    </w:lvl>
    <w:lvl w:ilvl="8" w:tplc="2DF68A2A" w:tentative="1">
      <w:start w:val="1"/>
      <w:numFmt w:val="bullet"/>
      <w:lvlText w:val=""/>
      <w:lvlJc w:val="left"/>
      <w:pPr>
        <w:ind w:left="6480" w:hanging="360"/>
      </w:pPr>
      <w:rPr>
        <w:rFonts w:ascii="Wingdings" w:hAnsi="Wingdings" w:hint="default"/>
      </w:rPr>
    </w:lvl>
  </w:abstractNum>
  <w:abstractNum w:abstractNumId="2" w15:restartNumberingAfterBreak="0">
    <w:nsid w:val="0F060D89"/>
    <w:multiLevelType w:val="hybridMultilevel"/>
    <w:tmpl w:val="C5D645D8"/>
    <w:lvl w:ilvl="0" w:tplc="A21467C0">
      <w:start w:val="1"/>
      <w:numFmt w:val="bullet"/>
      <w:lvlText w:val=""/>
      <w:lvlJc w:val="left"/>
      <w:pPr>
        <w:ind w:left="720" w:hanging="360"/>
      </w:pPr>
      <w:rPr>
        <w:rFonts w:ascii="Symbol" w:hAnsi="Symbol" w:hint="default"/>
      </w:rPr>
    </w:lvl>
    <w:lvl w:ilvl="1" w:tplc="AE64B0CE" w:tentative="1">
      <w:start w:val="1"/>
      <w:numFmt w:val="bullet"/>
      <w:lvlText w:val="o"/>
      <w:lvlJc w:val="left"/>
      <w:pPr>
        <w:ind w:left="1440" w:hanging="360"/>
      </w:pPr>
      <w:rPr>
        <w:rFonts w:ascii="Courier New" w:hAnsi="Courier New" w:cs="Courier New" w:hint="default"/>
      </w:rPr>
    </w:lvl>
    <w:lvl w:ilvl="2" w:tplc="6854C50C" w:tentative="1">
      <w:start w:val="1"/>
      <w:numFmt w:val="bullet"/>
      <w:lvlText w:val=""/>
      <w:lvlJc w:val="left"/>
      <w:pPr>
        <w:ind w:left="2160" w:hanging="360"/>
      </w:pPr>
      <w:rPr>
        <w:rFonts w:ascii="Wingdings" w:hAnsi="Wingdings" w:hint="default"/>
      </w:rPr>
    </w:lvl>
    <w:lvl w:ilvl="3" w:tplc="FFB2EDF2" w:tentative="1">
      <w:start w:val="1"/>
      <w:numFmt w:val="bullet"/>
      <w:lvlText w:val=""/>
      <w:lvlJc w:val="left"/>
      <w:pPr>
        <w:ind w:left="2880" w:hanging="360"/>
      </w:pPr>
      <w:rPr>
        <w:rFonts w:ascii="Symbol" w:hAnsi="Symbol" w:hint="default"/>
      </w:rPr>
    </w:lvl>
    <w:lvl w:ilvl="4" w:tplc="E5E04360" w:tentative="1">
      <w:start w:val="1"/>
      <w:numFmt w:val="bullet"/>
      <w:lvlText w:val="o"/>
      <w:lvlJc w:val="left"/>
      <w:pPr>
        <w:ind w:left="3600" w:hanging="360"/>
      </w:pPr>
      <w:rPr>
        <w:rFonts w:ascii="Courier New" w:hAnsi="Courier New" w:cs="Courier New" w:hint="default"/>
      </w:rPr>
    </w:lvl>
    <w:lvl w:ilvl="5" w:tplc="1804B538" w:tentative="1">
      <w:start w:val="1"/>
      <w:numFmt w:val="bullet"/>
      <w:lvlText w:val=""/>
      <w:lvlJc w:val="left"/>
      <w:pPr>
        <w:ind w:left="4320" w:hanging="360"/>
      </w:pPr>
      <w:rPr>
        <w:rFonts w:ascii="Wingdings" w:hAnsi="Wingdings" w:hint="default"/>
      </w:rPr>
    </w:lvl>
    <w:lvl w:ilvl="6" w:tplc="C3BECEEC" w:tentative="1">
      <w:start w:val="1"/>
      <w:numFmt w:val="bullet"/>
      <w:lvlText w:val=""/>
      <w:lvlJc w:val="left"/>
      <w:pPr>
        <w:ind w:left="5040" w:hanging="360"/>
      </w:pPr>
      <w:rPr>
        <w:rFonts w:ascii="Symbol" w:hAnsi="Symbol" w:hint="default"/>
      </w:rPr>
    </w:lvl>
    <w:lvl w:ilvl="7" w:tplc="C4F229D4" w:tentative="1">
      <w:start w:val="1"/>
      <w:numFmt w:val="bullet"/>
      <w:lvlText w:val="o"/>
      <w:lvlJc w:val="left"/>
      <w:pPr>
        <w:ind w:left="5760" w:hanging="360"/>
      </w:pPr>
      <w:rPr>
        <w:rFonts w:ascii="Courier New" w:hAnsi="Courier New" w:cs="Courier New" w:hint="default"/>
      </w:rPr>
    </w:lvl>
    <w:lvl w:ilvl="8" w:tplc="F4D89474" w:tentative="1">
      <w:start w:val="1"/>
      <w:numFmt w:val="bullet"/>
      <w:lvlText w:val=""/>
      <w:lvlJc w:val="left"/>
      <w:pPr>
        <w:ind w:left="6480" w:hanging="360"/>
      </w:pPr>
      <w:rPr>
        <w:rFonts w:ascii="Wingdings" w:hAnsi="Wingdings" w:hint="default"/>
      </w:rPr>
    </w:lvl>
  </w:abstractNum>
  <w:abstractNum w:abstractNumId="3" w15:restartNumberingAfterBreak="0">
    <w:nsid w:val="1529788C"/>
    <w:multiLevelType w:val="hybridMultilevel"/>
    <w:tmpl w:val="A4A01B66"/>
    <w:lvl w:ilvl="0" w:tplc="0AC6B6DC">
      <w:start w:val="1"/>
      <w:numFmt w:val="bullet"/>
      <w:lvlText w:val=""/>
      <w:lvlJc w:val="left"/>
      <w:pPr>
        <w:ind w:left="720" w:hanging="360"/>
      </w:pPr>
      <w:rPr>
        <w:rFonts w:ascii="Symbol" w:hAnsi="Symbol" w:hint="default"/>
      </w:rPr>
    </w:lvl>
    <w:lvl w:ilvl="1" w:tplc="A502C344" w:tentative="1">
      <w:start w:val="1"/>
      <w:numFmt w:val="bullet"/>
      <w:lvlText w:val="o"/>
      <w:lvlJc w:val="left"/>
      <w:pPr>
        <w:ind w:left="1440" w:hanging="360"/>
      </w:pPr>
      <w:rPr>
        <w:rFonts w:ascii="Courier New" w:hAnsi="Courier New" w:cs="Courier New" w:hint="default"/>
      </w:rPr>
    </w:lvl>
    <w:lvl w:ilvl="2" w:tplc="93467BF0" w:tentative="1">
      <w:start w:val="1"/>
      <w:numFmt w:val="bullet"/>
      <w:lvlText w:val=""/>
      <w:lvlJc w:val="left"/>
      <w:pPr>
        <w:ind w:left="2160" w:hanging="360"/>
      </w:pPr>
      <w:rPr>
        <w:rFonts w:ascii="Wingdings" w:hAnsi="Wingdings" w:hint="default"/>
      </w:rPr>
    </w:lvl>
    <w:lvl w:ilvl="3" w:tplc="351C01E4" w:tentative="1">
      <w:start w:val="1"/>
      <w:numFmt w:val="bullet"/>
      <w:lvlText w:val=""/>
      <w:lvlJc w:val="left"/>
      <w:pPr>
        <w:ind w:left="2880" w:hanging="360"/>
      </w:pPr>
      <w:rPr>
        <w:rFonts w:ascii="Symbol" w:hAnsi="Symbol" w:hint="default"/>
      </w:rPr>
    </w:lvl>
    <w:lvl w:ilvl="4" w:tplc="F0104088" w:tentative="1">
      <w:start w:val="1"/>
      <w:numFmt w:val="bullet"/>
      <w:lvlText w:val="o"/>
      <w:lvlJc w:val="left"/>
      <w:pPr>
        <w:ind w:left="3600" w:hanging="360"/>
      </w:pPr>
      <w:rPr>
        <w:rFonts w:ascii="Courier New" w:hAnsi="Courier New" w:cs="Courier New" w:hint="default"/>
      </w:rPr>
    </w:lvl>
    <w:lvl w:ilvl="5" w:tplc="1CBE219A" w:tentative="1">
      <w:start w:val="1"/>
      <w:numFmt w:val="bullet"/>
      <w:lvlText w:val=""/>
      <w:lvlJc w:val="left"/>
      <w:pPr>
        <w:ind w:left="4320" w:hanging="360"/>
      </w:pPr>
      <w:rPr>
        <w:rFonts w:ascii="Wingdings" w:hAnsi="Wingdings" w:hint="default"/>
      </w:rPr>
    </w:lvl>
    <w:lvl w:ilvl="6" w:tplc="5AC227E4" w:tentative="1">
      <w:start w:val="1"/>
      <w:numFmt w:val="bullet"/>
      <w:lvlText w:val=""/>
      <w:lvlJc w:val="left"/>
      <w:pPr>
        <w:ind w:left="5040" w:hanging="360"/>
      </w:pPr>
      <w:rPr>
        <w:rFonts w:ascii="Symbol" w:hAnsi="Symbol" w:hint="default"/>
      </w:rPr>
    </w:lvl>
    <w:lvl w:ilvl="7" w:tplc="BE5A0BB4" w:tentative="1">
      <w:start w:val="1"/>
      <w:numFmt w:val="bullet"/>
      <w:lvlText w:val="o"/>
      <w:lvlJc w:val="left"/>
      <w:pPr>
        <w:ind w:left="5760" w:hanging="360"/>
      </w:pPr>
      <w:rPr>
        <w:rFonts w:ascii="Courier New" w:hAnsi="Courier New" w:cs="Courier New" w:hint="default"/>
      </w:rPr>
    </w:lvl>
    <w:lvl w:ilvl="8" w:tplc="6232B2F2" w:tentative="1">
      <w:start w:val="1"/>
      <w:numFmt w:val="bullet"/>
      <w:lvlText w:val=""/>
      <w:lvlJc w:val="left"/>
      <w:pPr>
        <w:ind w:left="6480" w:hanging="360"/>
      </w:pPr>
      <w:rPr>
        <w:rFonts w:ascii="Wingdings" w:hAnsi="Wingdings" w:hint="default"/>
      </w:rPr>
    </w:lvl>
  </w:abstractNum>
  <w:abstractNum w:abstractNumId="4" w15:restartNumberingAfterBreak="0">
    <w:nsid w:val="4E34549D"/>
    <w:multiLevelType w:val="hybridMultilevel"/>
    <w:tmpl w:val="BCC8D64A"/>
    <w:lvl w:ilvl="0" w:tplc="85BE3D4E">
      <w:start w:val="1"/>
      <w:numFmt w:val="bullet"/>
      <w:lvlText w:val=""/>
      <w:lvlJc w:val="left"/>
      <w:pPr>
        <w:ind w:left="720" w:hanging="360"/>
      </w:pPr>
      <w:rPr>
        <w:rFonts w:ascii="Symbol" w:hAnsi="Symbol" w:hint="default"/>
      </w:rPr>
    </w:lvl>
    <w:lvl w:ilvl="1" w:tplc="364A2BC6" w:tentative="1">
      <w:start w:val="1"/>
      <w:numFmt w:val="bullet"/>
      <w:lvlText w:val="o"/>
      <w:lvlJc w:val="left"/>
      <w:pPr>
        <w:ind w:left="1440" w:hanging="360"/>
      </w:pPr>
      <w:rPr>
        <w:rFonts w:ascii="Courier New" w:hAnsi="Courier New" w:cs="Courier New" w:hint="default"/>
      </w:rPr>
    </w:lvl>
    <w:lvl w:ilvl="2" w:tplc="968E7478" w:tentative="1">
      <w:start w:val="1"/>
      <w:numFmt w:val="bullet"/>
      <w:lvlText w:val=""/>
      <w:lvlJc w:val="left"/>
      <w:pPr>
        <w:ind w:left="2160" w:hanging="360"/>
      </w:pPr>
      <w:rPr>
        <w:rFonts w:ascii="Wingdings" w:hAnsi="Wingdings" w:hint="default"/>
      </w:rPr>
    </w:lvl>
    <w:lvl w:ilvl="3" w:tplc="A49C6A10" w:tentative="1">
      <w:start w:val="1"/>
      <w:numFmt w:val="bullet"/>
      <w:lvlText w:val=""/>
      <w:lvlJc w:val="left"/>
      <w:pPr>
        <w:ind w:left="2880" w:hanging="360"/>
      </w:pPr>
      <w:rPr>
        <w:rFonts w:ascii="Symbol" w:hAnsi="Symbol" w:hint="default"/>
      </w:rPr>
    </w:lvl>
    <w:lvl w:ilvl="4" w:tplc="63C05C9E" w:tentative="1">
      <w:start w:val="1"/>
      <w:numFmt w:val="bullet"/>
      <w:lvlText w:val="o"/>
      <w:lvlJc w:val="left"/>
      <w:pPr>
        <w:ind w:left="3600" w:hanging="360"/>
      </w:pPr>
      <w:rPr>
        <w:rFonts w:ascii="Courier New" w:hAnsi="Courier New" w:cs="Courier New" w:hint="default"/>
      </w:rPr>
    </w:lvl>
    <w:lvl w:ilvl="5" w:tplc="B41ADB9C" w:tentative="1">
      <w:start w:val="1"/>
      <w:numFmt w:val="bullet"/>
      <w:lvlText w:val=""/>
      <w:lvlJc w:val="left"/>
      <w:pPr>
        <w:ind w:left="4320" w:hanging="360"/>
      </w:pPr>
      <w:rPr>
        <w:rFonts w:ascii="Wingdings" w:hAnsi="Wingdings" w:hint="default"/>
      </w:rPr>
    </w:lvl>
    <w:lvl w:ilvl="6" w:tplc="912E2352" w:tentative="1">
      <w:start w:val="1"/>
      <w:numFmt w:val="bullet"/>
      <w:lvlText w:val=""/>
      <w:lvlJc w:val="left"/>
      <w:pPr>
        <w:ind w:left="5040" w:hanging="360"/>
      </w:pPr>
      <w:rPr>
        <w:rFonts w:ascii="Symbol" w:hAnsi="Symbol" w:hint="default"/>
      </w:rPr>
    </w:lvl>
    <w:lvl w:ilvl="7" w:tplc="75DE644E" w:tentative="1">
      <w:start w:val="1"/>
      <w:numFmt w:val="bullet"/>
      <w:lvlText w:val="o"/>
      <w:lvlJc w:val="left"/>
      <w:pPr>
        <w:ind w:left="5760" w:hanging="360"/>
      </w:pPr>
      <w:rPr>
        <w:rFonts w:ascii="Courier New" w:hAnsi="Courier New" w:cs="Courier New" w:hint="default"/>
      </w:rPr>
    </w:lvl>
    <w:lvl w:ilvl="8" w:tplc="A4E2DFA8" w:tentative="1">
      <w:start w:val="1"/>
      <w:numFmt w:val="bullet"/>
      <w:lvlText w:val=""/>
      <w:lvlJc w:val="left"/>
      <w:pPr>
        <w:ind w:left="6480" w:hanging="360"/>
      </w:pPr>
      <w:rPr>
        <w:rFonts w:ascii="Wingdings" w:hAnsi="Wingdings" w:hint="default"/>
      </w:rPr>
    </w:lvl>
  </w:abstractNum>
  <w:abstractNum w:abstractNumId="5" w15:restartNumberingAfterBreak="0">
    <w:nsid w:val="60711249"/>
    <w:multiLevelType w:val="multilevel"/>
    <w:tmpl w:val="6978B844"/>
    <w:lvl w:ilvl="0">
      <w:start w:val="1"/>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6" w15:restartNumberingAfterBreak="0">
    <w:nsid w:val="748E2F9B"/>
    <w:multiLevelType w:val="hybridMultilevel"/>
    <w:tmpl w:val="35DED682"/>
    <w:lvl w:ilvl="0" w:tplc="A38CB5EC">
      <w:start w:val="1"/>
      <w:numFmt w:val="bullet"/>
      <w:lvlText w:val=""/>
      <w:lvlJc w:val="left"/>
      <w:pPr>
        <w:ind w:left="720" w:hanging="360"/>
      </w:pPr>
      <w:rPr>
        <w:rFonts w:ascii="Symbol" w:hAnsi="Symbol" w:hint="default"/>
      </w:rPr>
    </w:lvl>
    <w:lvl w:ilvl="1" w:tplc="D2E059FE" w:tentative="1">
      <w:start w:val="1"/>
      <w:numFmt w:val="bullet"/>
      <w:lvlText w:val="o"/>
      <w:lvlJc w:val="left"/>
      <w:pPr>
        <w:ind w:left="1440" w:hanging="360"/>
      </w:pPr>
      <w:rPr>
        <w:rFonts w:ascii="Courier New" w:hAnsi="Courier New" w:cs="Courier New" w:hint="default"/>
      </w:rPr>
    </w:lvl>
    <w:lvl w:ilvl="2" w:tplc="C1A801A4" w:tentative="1">
      <w:start w:val="1"/>
      <w:numFmt w:val="bullet"/>
      <w:lvlText w:val=""/>
      <w:lvlJc w:val="left"/>
      <w:pPr>
        <w:ind w:left="2160" w:hanging="360"/>
      </w:pPr>
      <w:rPr>
        <w:rFonts w:ascii="Wingdings" w:hAnsi="Wingdings" w:hint="default"/>
      </w:rPr>
    </w:lvl>
    <w:lvl w:ilvl="3" w:tplc="2C3C7F90" w:tentative="1">
      <w:start w:val="1"/>
      <w:numFmt w:val="bullet"/>
      <w:lvlText w:val=""/>
      <w:lvlJc w:val="left"/>
      <w:pPr>
        <w:ind w:left="2880" w:hanging="360"/>
      </w:pPr>
      <w:rPr>
        <w:rFonts w:ascii="Symbol" w:hAnsi="Symbol" w:hint="default"/>
      </w:rPr>
    </w:lvl>
    <w:lvl w:ilvl="4" w:tplc="44B8BDBA" w:tentative="1">
      <w:start w:val="1"/>
      <w:numFmt w:val="bullet"/>
      <w:lvlText w:val="o"/>
      <w:lvlJc w:val="left"/>
      <w:pPr>
        <w:ind w:left="3600" w:hanging="360"/>
      </w:pPr>
      <w:rPr>
        <w:rFonts w:ascii="Courier New" w:hAnsi="Courier New" w:cs="Courier New" w:hint="default"/>
      </w:rPr>
    </w:lvl>
    <w:lvl w:ilvl="5" w:tplc="42A8AEE0" w:tentative="1">
      <w:start w:val="1"/>
      <w:numFmt w:val="bullet"/>
      <w:lvlText w:val=""/>
      <w:lvlJc w:val="left"/>
      <w:pPr>
        <w:ind w:left="4320" w:hanging="360"/>
      </w:pPr>
      <w:rPr>
        <w:rFonts w:ascii="Wingdings" w:hAnsi="Wingdings" w:hint="default"/>
      </w:rPr>
    </w:lvl>
    <w:lvl w:ilvl="6" w:tplc="61E85546" w:tentative="1">
      <w:start w:val="1"/>
      <w:numFmt w:val="bullet"/>
      <w:lvlText w:val=""/>
      <w:lvlJc w:val="left"/>
      <w:pPr>
        <w:ind w:left="5040" w:hanging="360"/>
      </w:pPr>
      <w:rPr>
        <w:rFonts w:ascii="Symbol" w:hAnsi="Symbol" w:hint="default"/>
      </w:rPr>
    </w:lvl>
    <w:lvl w:ilvl="7" w:tplc="BC78C522" w:tentative="1">
      <w:start w:val="1"/>
      <w:numFmt w:val="bullet"/>
      <w:lvlText w:val="o"/>
      <w:lvlJc w:val="left"/>
      <w:pPr>
        <w:ind w:left="5760" w:hanging="360"/>
      </w:pPr>
      <w:rPr>
        <w:rFonts w:ascii="Courier New" w:hAnsi="Courier New" w:cs="Courier New" w:hint="default"/>
      </w:rPr>
    </w:lvl>
    <w:lvl w:ilvl="8" w:tplc="633A196C" w:tentative="1">
      <w:start w:val="1"/>
      <w:numFmt w:val="bullet"/>
      <w:lvlText w:val=""/>
      <w:lvlJc w:val="left"/>
      <w:pPr>
        <w:ind w:left="6480" w:hanging="360"/>
      </w:pPr>
      <w:rPr>
        <w:rFonts w:ascii="Wingdings" w:hAnsi="Wingdings" w:hint="default"/>
      </w:rPr>
    </w:lvl>
  </w:abstractNum>
  <w:abstractNum w:abstractNumId="7" w15:restartNumberingAfterBreak="0">
    <w:nsid w:val="74B760CA"/>
    <w:multiLevelType w:val="hybridMultilevel"/>
    <w:tmpl w:val="F53E06CC"/>
    <w:lvl w:ilvl="0" w:tplc="285CDB4C">
      <w:start w:val="2"/>
      <w:numFmt w:val="bullet"/>
      <w:lvlText w:val="-"/>
      <w:lvlJc w:val="left"/>
      <w:pPr>
        <w:ind w:left="720" w:hanging="360"/>
      </w:pPr>
      <w:rPr>
        <w:rFonts w:ascii="Calibri" w:eastAsiaTheme="minorHAnsi" w:hAnsi="Calibri" w:cstheme="minorBidi" w:hint="default"/>
      </w:rPr>
    </w:lvl>
    <w:lvl w:ilvl="1" w:tplc="9D9E39FE" w:tentative="1">
      <w:start w:val="1"/>
      <w:numFmt w:val="bullet"/>
      <w:lvlText w:val="o"/>
      <w:lvlJc w:val="left"/>
      <w:pPr>
        <w:ind w:left="1440" w:hanging="360"/>
      </w:pPr>
      <w:rPr>
        <w:rFonts w:ascii="Courier New" w:hAnsi="Courier New" w:cs="Courier New" w:hint="default"/>
      </w:rPr>
    </w:lvl>
    <w:lvl w:ilvl="2" w:tplc="4DEA9526" w:tentative="1">
      <w:start w:val="1"/>
      <w:numFmt w:val="bullet"/>
      <w:lvlText w:val=""/>
      <w:lvlJc w:val="left"/>
      <w:pPr>
        <w:ind w:left="2160" w:hanging="360"/>
      </w:pPr>
      <w:rPr>
        <w:rFonts w:ascii="Wingdings" w:hAnsi="Wingdings" w:hint="default"/>
      </w:rPr>
    </w:lvl>
    <w:lvl w:ilvl="3" w:tplc="3D6605FA" w:tentative="1">
      <w:start w:val="1"/>
      <w:numFmt w:val="bullet"/>
      <w:lvlText w:val=""/>
      <w:lvlJc w:val="left"/>
      <w:pPr>
        <w:ind w:left="2880" w:hanging="360"/>
      </w:pPr>
      <w:rPr>
        <w:rFonts w:ascii="Symbol" w:hAnsi="Symbol" w:hint="default"/>
      </w:rPr>
    </w:lvl>
    <w:lvl w:ilvl="4" w:tplc="9DBCD848" w:tentative="1">
      <w:start w:val="1"/>
      <w:numFmt w:val="bullet"/>
      <w:lvlText w:val="o"/>
      <w:lvlJc w:val="left"/>
      <w:pPr>
        <w:ind w:left="3600" w:hanging="360"/>
      </w:pPr>
      <w:rPr>
        <w:rFonts w:ascii="Courier New" w:hAnsi="Courier New" w:cs="Courier New" w:hint="default"/>
      </w:rPr>
    </w:lvl>
    <w:lvl w:ilvl="5" w:tplc="EE0CF3AE" w:tentative="1">
      <w:start w:val="1"/>
      <w:numFmt w:val="bullet"/>
      <w:lvlText w:val=""/>
      <w:lvlJc w:val="left"/>
      <w:pPr>
        <w:ind w:left="4320" w:hanging="360"/>
      </w:pPr>
      <w:rPr>
        <w:rFonts w:ascii="Wingdings" w:hAnsi="Wingdings" w:hint="default"/>
      </w:rPr>
    </w:lvl>
    <w:lvl w:ilvl="6" w:tplc="DDC8C258" w:tentative="1">
      <w:start w:val="1"/>
      <w:numFmt w:val="bullet"/>
      <w:lvlText w:val=""/>
      <w:lvlJc w:val="left"/>
      <w:pPr>
        <w:ind w:left="5040" w:hanging="360"/>
      </w:pPr>
      <w:rPr>
        <w:rFonts w:ascii="Symbol" w:hAnsi="Symbol" w:hint="default"/>
      </w:rPr>
    </w:lvl>
    <w:lvl w:ilvl="7" w:tplc="2A2892F4" w:tentative="1">
      <w:start w:val="1"/>
      <w:numFmt w:val="bullet"/>
      <w:lvlText w:val="o"/>
      <w:lvlJc w:val="left"/>
      <w:pPr>
        <w:ind w:left="5760" w:hanging="360"/>
      </w:pPr>
      <w:rPr>
        <w:rFonts w:ascii="Courier New" w:hAnsi="Courier New" w:cs="Courier New" w:hint="default"/>
      </w:rPr>
    </w:lvl>
    <w:lvl w:ilvl="8" w:tplc="393C4170" w:tentative="1">
      <w:start w:val="1"/>
      <w:numFmt w:val="bullet"/>
      <w:lvlText w:val=""/>
      <w:lvlJc w:val="left"/>
      <w:pPr>
        <w:ind w:left="6480" w:hanging="360"/>
      </w:pPr>
      <w:rPr>
        <w:rFonts w:ascii="Wingdings" w:hAnsi="Wingdings" w:hint="default"/>
      </w:rPr>
    </w:lvl>
  </w:abstractNum>
  <w:abstractNum w:abstractNumId="8" w15:restartNumberingAfterBreak="0">
    <w:nsid w:val="7ECA5096"/>
    <w:multiLevelType w:val="hybridMultilevel"/>
    <w:tmpl w:val="7BA87FDC"/>
    <w:lvl w:ilvl="0" w:tplc="AEE4FB60">
      <w:start w:val="1"/>
      <w:numFmt w:val="bullet"/>
      <w:lvlText w:val=""/>
      <w:lvlJc w:val="left"/>
      <w:pPr>
        <w:ind w:left="1440" w:hanging="360"/>
      </w:pPr>
      <w:rPr>
        <w:rFonts w:ascii="Symbol" w:hAnsi="Symbol" w:hint="default"/>
      </w:rPr>
    </w:lvl>
    <w:lvl w:ilvl="1" w:tplc="48C2CE18">
      <w:start w:val="1"/>
      <w:numFmt w:val="bullet"/>
      <w:lvlText w:val="o"/>
      <w:lvlJc w:val="left"/>
      <w:pPr>
        <w:ind w:left="2160" w:hanging="360"/>
      </w:pPr>
      <w:rPr>
        <w:rFonts w:ascii="Courier New" w:hAnsi="Courier New" w:cs="Courier New" w:hint="default"/>
      </w:rPr>
    </w:lvl>
    <w:lvl w:ilvl="2" w:tplc="EDE61796">
      <w:start w:val="1"/>
      <w:numFmt w:val="bullet"/>
      <w:lvlText w:val=""/>
      <w:lvlJc w:val="left"/>
      <w:pPr>
        <w:ind w:left="2880" w:hanging="360"/>
      </w:pPr>
      <w:rPr>
        <w:rFonts w:ascii="Wingdings" w:hAnsi="Wingdings" w:hint="default"/>
      </w:rPr>
    </w:lvl>
    <w:lvl w:ilvl="3" w:tplc="41D622C8">
      <w:start w:val="1"/>
      <w:numFmt w:val="bullet"/>
      <w:lvlText w:val=""/>
      <w:lvlJc w:val="left"/>
      <w:pPr>
        <w:ind w:left="3600" w:hanging="360"/>
      </w:pPr>
      <w:rPr>
        <w:rFonts w:ascii="Symbol" w:hAnsi="Symbol" w:hint="default"/>
      </w:rPr>
    </w:lvl>
    <w:lvl w:ilvl="4" w:tplc="DFC05278">
      <w:start w:val="1"/>
      <w:numFmt w:val="bullet"/>
      <w:lvlText w:val="o"/>
      <w:lvlJc w:val="left"/>
      <w:pPr>
        <w:ind w:left="4320" w:hanging="360"/>
      </w:pPr>
      <w:rPr>
        <w:rFonts w:ascii="Courier New" w:hAnsi="Courier New" w:cs="Courier New" w:hint="default"/>
      </w:rPr>
    </w:lvl>
    <w:lvl w:ilvl="5" w:tplc="4A40CD7C">
      <w:start w:val="1"/>
      <w:numFmt w:val="bullet"/>
      <w:lvlText w:val=""/>
      <w:lvlJc w:val="left"/>
      <w:pPr>
        <w:ind w:left="5040" w:hanging="360"/>
      </w:pPr>
      <w:rPr>
        <w:rFonts w:ascii="Wingdings" w:hAnsi="Wingdings" w:hint="default"/>
      </w:rPr>
    </w:lvl>
    <w:lvl w:ilvl="6" w:tplc="94DA05D6">
      <w:start w:val="1"/>
      <w:numFmt w:val="bullet"/>
      <w:lvlText w:val=""/>
      <w:lvlJc w:val="left"/>
      <w:pPr>
        <w:ind w:left="5760" w:hanging="360"/>
      </w:pPr>
      <w:rPr>
        <w:rFonts w:ascii="Symbol" w:hAnsi="Symbol" w:hint="default"/>
      </w:rPr>
    </w:lvl>
    <w:lvl w:ilvl="7" w:tplc="4B707572">
      <w:start w:val="1"/>
      <w:numFmt w:val="bullet"/>
      <w:lvlText w:val="o"/>
      <w:lvlJc w:val="left"/>
      <w:pPr>
        <w:ind w:left="6480" w:hanging="360"/>
      </w:pPr>
      <w:rPr>
        <w:rFonts w:ascii="Courier New" w:hAnsi="Courier New" w:cs="Courier New" w:hint="default"/>
      </w:rPr>
    </w:lvl>
    <w:lvl w:ilvl="8" w:tplc="3168C46A">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7"/>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DF"/>
    <w:rsid w:val="00464418"/>
    <w:rsid w:val="00612BC9"/>
    <w:rsid w:val="009F6816"/>
    <w:rsid w:val="00BC4E16"/>
    <w:rsid w:val="00D205EF"/>
    <w:rsid w:val="00DB20DF"/>
    <w:rsid w:val="00F6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5091"/>
  <w15:docId w15:val="{17134E72-B01A-435A-A325-D357C7CA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39"/>
    <w:rsid w:val="00706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06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38E4"/>
    <w:rPr>
      <w:sz w:val="16"/>
      <w:szCs w:val="16"/>
    </w:rPr>
  </w:style>
  <w:style w:type="paragraph" w:styleId="CommentText">
    <w:name w:val="annotation text"/>
    <w:basedOn w:val="Normal"/>
    <w:link w:val="CommentTextChar"/>
    <w:uiPriority w:val="99"/>
    <w:semiHidden/>
    <w:unhideWhenUsed/>
    <w:rsid w:val="003A38E4"/>
    <w:pPr>
      <w:spacing w:line="240" w:lineRule="auto"/>
    </w:pPr>
    <w:rPr>
      <w:sz w:val="20"/>
      <w:szCs w:val="20"/>
    </w:rPr>
  </w:style>
  <w:style w:type="character" w:customStyle="1" w:styleId="CommentTextChar">
    <w:name w:val="Comment Text Char"/>
    <w:basedOn w:val="DefaultParagraphFont"/>
    <w:link w:val="CommentText"/>
    <w:uiPriority w:val="99"/>
    <w:semiHidden/>
    <w:rsid w:val="003A38E4"/>
    <w:rPr>
      <w:sz w:val="20"/>
      <w:szCs w:val="20"/>
    </w:rPr>
  </w:style>
  <w:style w:type="paragraph" w:styleId="CommentSubject">
    <w:name w:val="annotation subject"/>
    <w:basedOn w:val="CommentText"/>
    <w:next w:val="CommentText"/>
    <w:link w:val="CommentSubjectChar"/>
    <w:uiPriority w:val="99"/>
    <w:semiHidden/>
    <w:unhideWhenUsed/>
    <w:rsid w:val="003A38E4"/>
    <w:rPr>
      <w:b/>
      <w:bCs/>
    </w:rPr>
  </w:style>
  <w:style w:type="character" w:customStyle="1" w:styleId="CommentSubjectChar">
    <w:name w:val="Comment Subject Char"/>
    <w:basedOn w:val="CommentTextChar"/>
    <w:link w:val="CommentSubject"/>
    <w:uiPriority w:val="99"/>
    <w:semiHidden/>
    <w:rsid w:val="003A38E4"/>
    <w:rPr>
      <w:b/>
      <w:bCs/>
      <w:sz w:val="20"/>
      <w:szCs w:val="20"/>
    </w:rPr>
  </w:style>
  <w:style w:type="paragraph" w:styleId="BalloonText">
    <w:name w:val="Balloon Text"/>
    <w:basedOn w:val="Normal"/>
    <w:link w:val="BalloonTextChar"/>
    <w:uiPriority w:val="99"/>
    <w:semiHidden/>
    <w:unhideWhenUsed/>
    <w:rsid w:val="003A3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D8BB6-EAAA-447D-96DC-A45FB5DB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13</Pages>
  <Words>4123</Words>
  <Characters>23505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18</cp:revision>
  <cp:lastPrinted>2015-01-28T14:27:00Z</cp:lastPrinted>
  <dcterms:created xsi:type="dcterms:W3CDTF">2015-03-30T10:11:00Z</dcterms:created>
  <dcterms:modified xsi:type="dcterms:W3CDTF">2019-07-19T08:45:00Z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End of Year Monitoring Report - Year 5 2019-20</vt:lpwstr>
  </property>
  <property fmtid="{D5CDD505-2E9C-101B-9397-08002B2CF9AE}" pid="4" name="LeadOfficer">
    <vt:lpwstr>Joanne Hudson</vt:lpwstr>
  </property>
  <property fmtid="{D5CDD505-2E9C-101B-9397-08002B2CF9AE}" pid="5" name="LeadOfficerEmail">
    <vt:lpwstr>joanne.hudson@lancashire.gov.uk</vt:lpwstr>
  </property>
  <property fmtid="{D5CDD505-2E9C-101B-9397-08002B2CF9AE}" pid="6" name="LeadOfficerTel">
    <vt:lpwstr>Tel: 07772 112959</vt:lpwstr>
  </property>
  <property fmtid="{D5CDD505-2E9C-101B-9397-08002B2CF9AE}" pid="7" name="MeetingDate">
    <vt:lpwstr>Thursday, 25 July 2019</vt:lpwstr>
  </property>
  <property fmtid="{D5CDD505-2E9C-101B-9397-08002B2CF9AE}" pid="8" name="TitusGUID">
    <vt:lpwstr>b16076df-281e-485b-ac3b-6fbc29115d7d</vt:lpwstr>
  </property>
</Properties>
</file>